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5D033C">
      <w:pPr>
        <w:tabs>
          <w:tab w:val="left" w:pos="2004"/>
        </w:tabs>
        <w:spacing w:after="0" w:line="100" w:lineRule="atLeast"/>
        <w:rPr>
          <w:sz w:val="28"/>
          <w:szCs w:val="28"/>
        </w:rPr>
      </w:pPr>
      <w:bookmarkStart w:id="0" w:name="_GoBack"/>
      <w:bookmarkEnd w:id="0"/>
    </w:p>
    <w:p w:rsidR="00000000" w:rsidRDefault="005D033C">
      <w:pPr>
        <w:widowControl w:val="0"/>
        <w:shd w:val="clear" w:color="auto" w:fill="FFFFFF"/>
        <w:spacing w:after="0" w:line="100" w:lineRule="atLeast"/>
        <w:ind w:right="51"/>
        <w:jc w:val="center"/>
        <w:rPr>
          <w:rFonts w:ascii="Arial" w:eastAsia="Arial" w:hAnsi="Arial" w:cs="Arial"/>
          <w:color w:val="000000"/>
          <w:sz w:val="22"/>
          <w:szCs w:val="22"/>
        </w:rPr>
      </w:pPr>
      <w:bookmarkStart w:id="1" w:name="_heading=h.gjdgxs"/>
      <w:bookmarkEnd w:id="1"/>
      <w:r>
        <w:rPr>
          <w:rFonts w:ascii="Arial" w:eastAsia="Arial" w:hAnsi="Arial" w:cs="Arial"/>
          <w:color w:val="000000"/>
          <w:sz w:val="28"/>
          <w:szCs w:val="28"/>
        </w:rPr>
        <w:t xml:space="preserve">Procedura aperta per l’affidamento dei servizi assicurativi </w:t>
      </w:r>
    </w:p>
    <w:p w:rsidR="00000000" w:rsidRDefault="005D033C">
      <w:pPr>
        <w:widowControl w:val="0"/>
        <w:shd w:val="clear" w:color="auto" w:fill="FFFFFF"/>
        <w:spacing w:after="0" w:line="100" w:lineRule="atLeast"/>
        <w:ind w:right="51"/>
        <w:jc w:val="center"/>
        <w:rPr>
          <w:rFonts w:ascii="Arial" w:eastAsia="Arial" w:hAnsi="Arial" w:cs="Arial"/>
          <w:color w:val="000000"/>
          <w:sz w:val="22"/>
          <w:szCs w:val="22"/>
        </w:rPr>
      </w:pPr>
    </w:p>
    <w:p w:rsidR="00000000" w:rsidRDefault="005D033C">
      <w:pPr>
        <w:widowControl w:val="0"/>
        <w:shd w:val="clear" w:color="auto" w:fill="FFFFFF"/>
        <w:spacing w:after="0" w:line="319" w:lineRule="auto"/>
        <w:ind w:right="51"/>
        <w:jc w:val="center"/>
        <w:rPr>
          <w:rFonts w:ascii="Arial" w:eastAsia="Arial" w:hAnsi="Arial" w:cs="Arial"/>
        </w:rPr>
      </w:pPr>
      <w:r>
        <w:rPr>
          <w:rFonts w:ascii="Arial" w:eastAsia="Arial" w:hAnsi="Arial" w:cs="Arial"/>
          <w:b/>
          <w:color w:val="003366"/>
          <w:sz w:val="28"/>
          <w:szCs w:val="28"/>
        </w:rPr>
        <w:t>DICHIARAZIONE DI ACCETTAZIONE CAPITOLATO E INDICAZIONI OPZIONI MIGLIORATIVE</w:t>
      </w:r>
    </w:p>
    <w:p w:rsidR="00000000" w:rsidRDefault="005D033C">
      <w:pPr>
        <w:shd w:val="clear" w:color="auto" w:fill="FFFFFF"/>
        <w:spacing w:line="319" w:lineRule="auto"/>
        <w:jc w:val="center"/>
        <w:rPr>
          <w:rFonts w:ascii="Arial" w:eastAsia="Arial" w:hAnsi="Arial" w:cs="Arial"/>
          <w:b/>
          <w:color w:val="000000"/>
          <w:sz w:val="22"/>
          <w:szCs w:val="22"/>
        </w:rPr>
      </w:pPr>
      <w:r>
        <w:rPr>
          <w:rFonts w:ascii="Arial" w:eastAsia="Arial" w:hAnsi="Arial" w:cs="Arial"/>
        </w:rPr>
        <w:t>ai sensi degli artt. 46 e 47 del D.P.R. n. 445/2000</w:t>
      </w:r>
    </w:p>
    <w:p w:rsidR="00000000" w:rsidRDefault="005D033C">
      <w:pPr>
        <w:widowControl w:val="0"/>
        <w:shd w:val="clear" w:color="auto" w:fill="FFFFFF"/>
        <w:spacing w:after="0" w:line="319" w:lineRule="auto"/>
        <w:ind w:right="51"/>
        <w:jc w:val="center"/>
        <w:rPr>
          <w:rFonts w:ascii="Arial" w:eastAsia="Arial" w:hAnsi="Arial" w:cs="Arial"/>
        </w:rPr>
      </w:pPr>
      <w:r>
        <w:rPr>
          <w:rFonts w:ascii="Arial" w:eastAsia="Arial" w:hAnsi="Arial" w:cs="Arial"/>
          <w:b/>
          <w:color w:val="000000"/>
          <w:sz w:val="22"/>
          <w:szCs w:val="22"/>
        </w:rPr>
        <w:t>(da inserire nella busta "offerta tecnica")</w:t>
      </w:r>
    </w:p>
    <w:p w:rsidR="00000000" w:rsidRDefault="005D033C">
      <w:pPr>
        <w:pStyle w:val="Titolo"/>
        <w:spacing w:line="199" w:lineRule="auto"/>
        <w:rPr>
          <w:rFonts w:ascii="Arial" w:eastAsia="Arial" w:hAnsi="Arial" w:cs="Arial"/>
        </w:rPr>
      </w:pPr>
    </w:p>
    <w:p w:rsidR="00000000" w:rsidRDefault="005D033C">
      <w:pPr>
        <w:pStyle w:val="Titolo"/>
        <w:spacing w:line="199" w:lineRule="auto"/>
        <w:rPr>
          <w:rFonts w:ascii="Arial" w:eastAsia="Arial" w:hAnsi="Arial" w:cs="Arial"/>
        </w:rPr>
      </w:pPr>
    </w:p>
    <w:p w:rsidR="00000000" w:rsidRDefault="005D033C">
      <w:pPr>
        <w:pStyle w:val="Titolo"/>
        <w:rPr>
          <w:rFonts w:ascii="Arial" w:eastAsia="Arial" w:hAnsi="Arial" w:cs="Arial"/>
        </w:rPr>
      </w:pPr>
      <w:r>
        <w:rPr>
          <w:rFonts w:ascii="Arial" w:eastAsia="Arial" w:hAnsi="Arial" w:cs="Arial"/>
          <w:shd w:val="clear" w:color="auto" w:fill="FFFFFF"/>
        </w:rPr>
        <w:t>CIG 9036490B71</w:t>
      </w:r>
    </w:p>
    <w:p w:rsidR="00000000" w:rsidRDefault="005D033C">
      <w:pPr>
        <w:rPr>
          <w:rFonts w:ascii="Arial" w:eastAsia="Arial" w:hAnsi="Arial" w:cs="Arial"/>
        </w:rPr>
      </w:pPr>
    </w:p>
    <w:tbl>
      <w:tblPr>
        <w:tblW w:w="0" w:type="auto"/>
        <w:tblInd w:w="108" w:type="dxa"/>
        <w:tblLayout w:type="fixed"/>
        <w:tblLook w:val="0000" w:firstRow="0" w:lastRow="0" w:firstColumn="0" w:lastColumn="0" w:noHBand="0" w:noVBand="0"/>
      </w:tblPr>
      <w:tblGrid>
        <w:gridCol w:w="1203"/>
        <w:gridCol w:w="8575"/>
      </w:tblGrid>
      <w:tr w:rsidR="00000000">
        <w:trPr>
          <w:trHeight w:val="63"/>
        </w:trPr>
        <w:tc>
          <w:tcPr>
            <w:tcW w:w="1203" w:type="dxa"/>
            <w:shd w:val="clear" w:color="auto" w:fill="auto"/>
          </w:tcPr>
          <w:p w:rsidR="00000000" w:rsidRDefault="005D033C">
            <w:pPr>
              <w:rPr>
                <w:b/>
              </w:rPr>
            </w:pPr>
            <w:r>
              <w:rPr>
                <w:b/>
              </w:rPr>
              <w:t>Ogg</w:t>
            </w:r>
            <w:r>
              <w:rPr>
                <w:b/>
              </w:rPr>
              <w:t>etto:</w:t>
            </w:r>
          </w:p>
        </w:tc>
        <w:tc>
          <w:tcPr>
            <w:tcW w:w="8575" w:type="dxa"/>
            <w:shd w:val="clear" w:color="auto" w:fill="auto"/>
          </w:tcPr>
          <w:p w:rsidR="00000000" w:rsidRDefault="005D033C">
            <w:bookmarkStart w:id="2" w:name="_heading=h.1fob9te"/>
            <w:bookmarkEnd w:id="2"/>
            <w:r>
              <w:rPr>
                <w:b/>
              </w:rPr>
              <w:t xml:space="preserve">Offerta tecnica per l’affidamento dei servizi assicurativi – </w:t>
            </w:r>
            <w:r>
              <w:rPr>
                <w:b/>
                <w:sz w:val="28"/>
                <w:szCs w:val="28"/>
              </w:rPr>
              <w:t>Lotto n. 2</w:t>
            </w:r>
            <w:r>
              <w:rPr>
                <w:b/>
              </w:rPr>
              <w:t xml:space="preserve"> – RCT/O</w:t>
            </w:r>
          </w:p>
        </w:tc>
      </w:tr>
    </w:tbl>
    <w:p w:rsidR="00000000" w:rsidRDefault="005D033C">
      <w:pPr>
        <w:widowControl w:val="0"/>
        <w:spacing w:after="0" w:line="319" w:lineRule="auto"/>
        <w:rPr>
          <w:rFonts w:eastAsia="Calibri" w:cs="Calibri"/>
          <w:color w:val="000000"/>
          <w:sz w:val="22"/>
          <w:szCs w:val="22"/>
        </w:rPr>
      </w:pPr>
      <w:r>
        <w:rPr>
          <w:rFonts w:eastAsia="Calibri" w:cs="Calibri"/>
          <w:color w:val="000000"/>
          <w:sz w:val="22"/>
          <w:szCs w:val="22"/>
        </w:rPr>
        <w:t>Il/la sottoscritto/a ________________________________________________________________________</w:t>
      </w:r>
    </w:p>
    <w:p w:rsidR="00000000" w:rsidRDefault="005D033C">
      <w:pPr>
        <w:widowControl w:val="0"/>
        <w:spacing w:after="0" w:line="319" w:lineRule="auto"/>
        <w:rPr>
          <w:rFonts w:eastAsia="Calibri" w:cs="Calibri"/>
          <w:color w:val="000000"/>
          <w:sz w:val="22"/>
          <w:szCs w:val="22"/>
        </w:rPr>
      </w:pPr>
      <w:r>
        <w:rPr>
          <w:rFonts w:eastAsia="Calibri" w:cs="Calibri"/>
          <w:color w:val="000000"/>
          <w:sz w:val="22"/>
          <w:szCs w:val="22"/>
        </w:rPr>
        <w:t>Nato/a _______________________________________________________________ il _</w:t>
      </w:r>
      <w:r>
        <w:rPr>
          <w:rFonts w:eastAsia="Calibri" w:cs="Calibri"/>
          <w:color w:val="000000"/>
          <w:sz w:val="22"/>
          <w:szCs w:val="22"/>
        </w:rPr>
        <w:t>_______________</w:t>
      </w:r>
    </w:p>
    <w:p w:rsidR="00000000" w:rsidRDefault="005D033C">
      <w:pPr>
        <w:widowControl w:val="0"/>
        <w:spacing w:after="0" w:line="319" w:lineRule="auto"/>
        <w:rPr>
          <w:rFonts w:eastAsia="Calibri" w:cs="Calibri"/>
          <w:color w:val="000000"/>
          <w:sz w:val="22"/>
          <w:szCs w:val="22"/>
        </w:rPr>
      </w:pPr>
      <w:r>
        <w:rPr>
          <w:rFonts w:eastAsia="Calibri" w:cs="Calibri"/>
          <w:color w:val="000000"/>
          <w:sz w:val="22"/>
          <w:szCs w:val="22"/>
        </w:rPr>
        <w:t xml:space="preserve">Residente in ____________________________ Via/Piazza ______________________________ n. ______ </w:t>
      </w:r>
    </w:p>
    <w:p w:rsidR="00000000" w:rsidRDefault="005D033C">
      <w:pPr>
        <w:widowControl w:val="0"/>
        <w:spacing w:after="0" w:line="319" w:lineRule="auto"/>
        <w:rPr>
          <w:rFonts w:eastAsia="Calibri" w:cs="Calibri"/>
          <w:color w:val="000000"/>
          <w:sz w:val="22"/>
          <w:szCs w:val="22"/>
        </w:rPr>
      </w:pPr>
      <w:r>
        <w:rPr>
          <w:rFonts w:eastAsia="Calibri" w:cs="Calibri"/>
          <w:color w:val="000000"/>
          <w:sz w:val="22"/>
          <w:szCs w:val="22"/>
        </w:rPr>
        <w:t>Codice fiscale __________________________________________________________________________</w:t>
      </w:r>
    </w:p>
    <w:p w:rsidR="00000000" w:rsidRDefault="005D033C">
      <w:pPr>
        <w:widowControl w:val="0"/>
        <w:spacing w:after="0" w:line="319" w:lineRule="auto"/>
        <w:rPr>
          <w:rFonts w:ascii="Calibri" w:eastAsia="Calibri" w:hAnsi="Calibri" w:cs="Calibri"/>
          <w:sz w:val="22"/>
          <w:szCs w:val="22"/>
        </w:rPr>
      </w:pPr>
      <w:r>
        <w:rPr>
          <w:rFonts w:eastAsia="Calibri" w:cs="Calibri"/>
          <w:color w:val="000000"/>
          <w:sz w:val="22"/>
          <w:szCs w:val="22"/>
        </w:rPr>
        <w:t>in qualità di legale rappresentante / procuratore forni</w:t>
      </w:r>
      <w:r>
        <w:rPr>
          <w:rFonts w:eastAsia="Calibri" w:cs="Calibri"/>
          <w:color w:val="000000"/>
          <w:sz w:val="22"/>
          <w:szCs w:val="22"/>
        </w:rPr>
        <w:t>to dei poteri necessari dell’impresa offerente ______________________________________________________________________________________</w:t>
      </w:r>
    </w:p>
    <w:p w:rsidR="00000000" w:rsidRDefault="005D033C">
      <w:pPr>
        <w:pStyle w:val="Titolo1"/>
        <w:spacing w:line="319" w:lineRule="auto"/>
        <w:ind w:right="0"/>
        <w:jc w:val="left"/>
        <w:rPr>
          <w:rFonts w:ascii="Calibri" w:eastAsia="Calibri" w:hAnsi="Calibri" w:cs="Calibri"/>
          <w:sz w:val="22"/>
          <w:szCs w:val="22"/>
        </w:rPr>
      </w:pPr>
    </w:p>
    <w:p w:rsidR="00000000" w:rsidRDefault="005D033C">
      <w:pPr>
        <w:pStyle w:val="Titolo1"/>
        <w:spacing w:line="218" w:lineRule="auto"/>
        <w:ind w:right="0"/>
      </w:pPr>
      <w:r>
        <w:rPr>
          <w:rFonts w:ascii="Calibri" w:eastAsia="Calibri" w:hAnsi="Calibri" w:cs="Calibri"/>
          <w:sz w:val="22"/>
          <w:szCs w:val="22"/>
        </w:rPr>
        <w:t>DICHIARA</w:t>
      </w:r>
    </w:p>
    <w:p w:rsidR="00000000" w:rsidRDefault="005D033C">
      <w:pPr>
        <w:spacing w:line="158" w:lineRule="auto"/>
      </w:pPr>
    </w:p>
    <w:p w:rsidR="00000000" w:rsidRDefault="005D033C">
      <w:pPr>
        <w:spacing w:before="120" w:after="0" w:line="259" w:lineRule="auto"/>
        <w:jc w:val="both"/>
      </w:pPr>
      <w:r>
        <w:t xml:space="preserve">di accettare integralmente </w:t>
      </w:r>
      <w:r>
        <w:rPr>
          <w:b/>
        </w:rPr>
        <w:t>senza alcuna riserva, né restrizione</w:t>
      </w:r>
      <w:r>
        <w:t xml:space="preserve"> tutte le clausole e le condizioni previste dal </w:t>
      </w:r>
      <w:r>
        <w:t>Capitolato Speciale</w:t>
      </w:r>
    </w:p>
    <w:p w:rsidR="00000000" w:rsidRDefault="005D033C">
      <w:pPr>
        <w:spacing w:before="16" w:after="0" w:line="259" w:lineRule="auto"/>
      </w:pPr>
    </w:p>
    <w:p w:rsidR="00000000" w:rsidRDefault="005D033C">
      <w:pPr>
        <w:spacing w:after="0" w:line="100" w:lineRule="atLeast"/>
        <w:ind w:left="116" w:right="60"/>
        <w:rPr>
          <w:rFonts w:ascii="Arial" w:eastAsia="Arial" w:hAnsi="Arial" w:cs="Arial"/>
        </w:rPr>
      </w:pPr>
      <w:r>
        <w:rPr>
          <w:b/>
        </w:rPr>
        <w:t>N.B. All'integrale accettazione delle condizioni del capitolato di assicurazione (assenza di opzione per qualsiasi variante) sono assegnati punti 0 ( zero).</w:t>
      </w:r>
    </w:p>
    <w:p w:rsidR="00000000" w:rsidRDefault="005D033C">
      <w:pPr>
        <w:tabs>
          <w:tab w:val="left" w:pos="2004"/>
        </w:tabs>
        <w:spacing w:after="0" w:line="100" w:lineRule="atLeast"/>
        <w:rPr>
          <w:rFonts w:ascii="Arial" w:eastAsia="Arial" w:hAnsi="Arial" w:cs="Arial"/>
        </w:rPr>
      </w:pPr>
    </w:p>
    <w:p w:rsidR="00000000" w:rsidRDefault="005D033C">
      <w:pPr>
        <w:tabs>
          <w:tab w:val="left" w:pos="2004"/>
        </w:tabs>
        <w:spacing w:after="0" w:line="100" w:lineRule="atLeast"/>
        <w:rPr>
          <w:rFonts w:ascii="Arial" w:eastAsia="Arial" w:hAnsi="Arial" w:cs="Arial"/>
        </w:rPr>
      </w:pPr>
    </w:p>
    <w:p w:rsidR="00000000" w:rsidRDefault="005D033C">
      <w:pPr>
        <w:tabs>
          <w:tab w:val="left" w:pos="2004"/>
        </w:tabs>
        <w:spacing w:after="0" w:line="100" w:lineRule="atLeast"/>
        <w:rPr>
          <w:rFonts w:ascii="Arial" w:eastAsia="Arial" w:hAnsi="Arial" w:cs="Arial"/>
        </w:rPr>
      </w:pPr>
    </w:p>
    <w:p w:rsidR="00000000" w:rsidRDefault="005D033C">
      <w:pPr>
        <w:spacing w:after="0" w:line="100" w:lineRule="atLeast"/>
        <w:ind w:right="-20"/>
        <w:jc w:val="center"/>
        <w:rPr>
          <w:rFonts w:ascii="Arial" w:eastAsia="Arial" w:hAnsi="Arial" w:cs="Arial"/>
          <w:b/>
          <w:sz w:val="24"/>
          <w:szCs w:val="24"/>
        </w:rPr>
      </w:pPr>
      <w:bookmarkStart w:id="3" w:name="_heading=h.3znysh7"/>
      <w:bookmarkEnd w:id="3"/>
      <w:r>
        <w:rPr>
          <w:rFonts w:ascii="Arial" w:eastAsia="Arial" w:hAnsi="Arial" w:cs="Arial"/>
          <w:b/>
          <w:sz w:val="24"/>
          <w:szCs w:val="24"/>
        </w:rPr>
        <w:t>Varianti: punteggio massimo 70 punti – Barrare l’opzione prescelta</w:t>
      </w:r>
    </w:p>
    <w:p w:rsidR="00000000" w:rsidRDefault="005D033C">
      <w:pPr>
        <w:spacing w:after="0" w:line="100" w:lineRule="atLeast"/>
        <w:ind w:right="-20"/>
        <w:jc w:val="center"/>
        <w:rPr>
          <w:rFonts w:ascii="Arial" w:eastAsia="Arial" w:hAnsi="Arial" w:cs="Arial"/>
          <w:b/>
          <w:sz w:val="24"/>
          <w:szCs w:val="24"/>
        </w:rPr>
      </w:pPr>
      <w:bookmarkStart w:id="4" w:name="_heading=h.2et92p0"/>
      <w:bookmarkEnd w:id="4"/>
    </w:p>
    <w:p w:rsidR="00000000" w:rsidRDefault="005D033C">
      <w:pPr>
        <w:spacing w:after="0" w:line="100" w:lineRule="atLeast"/>
        <w:ind w:right="-20"/>
        <w:jc w:val="center"/>
      </w:pPr>
    </w:p>
    <w:tbl>
      <w:tblPr>
        <w:tblW w:w="0" w:type="auto"/>
        <w:jc w:val="center"/>
        <w:tblLayout w:type="fixed"/>
        <w:tblLook w:val="0000" w:firstRow="0" w:lastRow="0" w:firstColumn="0" w:lastColumn="0" w:noHBand="0" w:noVBand="0"/>
      </w:tblPr>
      <w:tblGrid>
        <w:gridCol w:w="1572"/>
        <w:gridCol w:w="4782"/>
        <w:gridCol w:w="1483"/>
      </w:tblGrid>
      <w:tr w:rsidR="00000000">
        <w:trPr>
          <w:trHeight w:val="285"/>
          <w:jc w:val="center"/>
        </w:trPr>
        <w:tc>
          <w:tcPr>
            <w:tcW w:w="783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left="103" w:right="-20"/>
            </w:pPr>
            <w:r>
              <w:rPr>
                <w:b/>
              </w:rPr>
              <w:t>Varian</w:t>
            </w:r>
            <w:r>
              <w:rPr>
                <w:b/>
              </w:rPr>
              <w:t>te n. 1</w:t>
            </w:r>
          </w:p>
        </w:tc>
      </w:tr>
      <w:tr w:rsidR="00000000">
        <w:trPr>
          <w:trHeight w:val="562"/>
          <w:jc w:val="center"/>
        </w:trPr>
        <w:tc>
          <w:tcPr>
            <w:tcW w:w="1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right="-20"/>
              <w:jc w:val="center"/>
              <w:rPr>
                <w:b/>
              </w:rPr>
            </w:pPr>
            <w:r>
              <w:rPr>
                <w:b/>
              </w:rPr>
              <w:t>Opzioni</w:t>
            </w:r>
          </w:p>
        </w:tc>
        <w:tc>
          <w:tcPr>
            <w:tcW w:w="47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left="161" w:right="-20"/>
              <w:jc w:val="both"/>
              <w:rPr>
                <w:b/>
              </w:rPr>
            </w:pPr>
            <w:r>
              <w:rPr>
                <w:b/>
              </w:rPr>
              <w:t>Aumento dei massimali (Art. 4.1 + scheda di polizza)</w:t>
            </w:r>
          </w:p>
        </w:tc>
        <w:tc>
          <w:tcPr>
            <w:tcW w:w="14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left="58" w:right="-20"/>
              <w:jc w:val="center"/>
            </w:pPr>
            <w:r>
              <w:rPr>
                <w:b/>
              </w:rPr>
              <w:t>Punteggio</w:t>
            </w:r>
          </w:p>
        </w:tc>
      </w:tr>
      <w:tr w:rsidR="00000000">
        <w:trPr>
          <w:trHeight w:val="861"/>
          <w:jc w:val="center"/>
        </w:trPr>
        <w:tc>
          <w:tcPr>
            <w:tcW w:w="1572" w:type="dxa"/>
            <w:tcBorders>
              <w:top w:val="single" w:sz="4" w:space="0" w:color="000000"/>
              <w:left w:val="single" w:sz="4" w:space="0" w:color="000000"/>
              <w:bottom w:val="single" w:sz="4" w:space="0" w:color="000000"/>
              <w:right w:val="single" w:sz="4" w:space="0" w:color="000000"/>
            </w:tcBorders>
            <w:shd w:val="clear" w:color="auto" w:fill="DCDCDC"/>
            <w:vAlign w:val="center"/>
          </w:tcPr>
          <w:p w:rsidR="00000000" w:rsidRDefault="005D033C">
            <w:pPr>
              <w:spacing w:after="0" w:line="100" w:lineRule="atLeast"/>
              <w:ind w:right="-20"/>
              <w:jc w:val="center"/>
            </w:pPr>
            <w:r>
              <w:rPr>
                <w:i/>
              </w:rPr>
              <w:t>Base di gara</w:t>
            </w:r>
          </w:p>
        </w:tc>
        <w:tc>
          <w:tcPr>
            <w:tcW w:w="4782" w:type="dxa"/>
            <w:tcBorders>
              <w:top w:val="single" w:sz="4" w:space="0" w:color="000000"/>
              <w:left w:val="single" w:sz="4" w:space="0" w:color="000000"/>
              <w:bottom w:val="single" w:sz="4" w:space="0" w:color="000000"/>
              <w:right w:val="single" w:sz="4" w:space="0" w:color="000000"/>
            </w:tcBorders>
            <w:shd w:val="clear" w:color="auto" w:fill="DCDCDC"/>
            <w:vAlign w:val="center"/>
          </w:tcPr>
          <w:p w:rsidR="00000000" w:rsidRDefault="005D033C">
            <w:pPr>
              <w:spacing w:after="0" w:line="100" w:lineRule="atLeast"/>
              <w:ind w:right="86"/>
              <w:jc w:val="center"/>
            </w:pPr>
            <w:r>
              <w:t>Per sinistro Euro 10.000.000,00, con il limite di RCT Unico 6.000.000,00</w:t>
            </w:r>
          </w:p>
          <w:p w:rsidR="00000000" w:rsidRDefault="005D033C">
            <w:pPr>
              <w:spacing w:after="0" w:line="100" w:lineRule="atLeast"/>
              <w:ind w:right="-20"/>
              <w:jc w:val="center"/>
              <w:rPr>
                <w:i/>
              </w:rPr>
            </w:pPr>
            <w:r>
              <w:t>RCO 6.000.000,00/2.500.000,00</w:t>
            </w:r>
          </w:p>
        </w:tc>
        <w:tc>
          <w:tcPr>
            <w:tcW w:w="1483" w:type="dxa"/>
            <w:tcBorders>
              <w:top w:val="single" w:sz="4" w:space="0" w:color="000000"/>
              <w:left w:val="single" w:sz="4" w:space="0" w:color="000000"/>
              <w:bottom w:val="single" w:sz="4" w:space="0" w:color="000000"/>
              <w:right w:val="single" w:sz="4" w:space="0" w:color="000000"/>
            </w:tcBorders>
            <w:shd w:val="clear" w:color="auto" w:fill="DCDCDC"/>
            <w:vAlign w:val="center"/>
          </w:tcPr>
          <w:p w:rsidR="00000000" w:rsidRDefault="005D033C">
            <w:pPr>
              <w:tabs>
                <w:tab w:val="left" w:pos="200"/>
              </w:tabs>
              <w:spacing w:after="0" w:line="100" w:lineRule="atLeast"/>
              <w:ind w:left="-84"/>
              <w:jc w:val="center"/>
            </w:pPr>
            <w:r>
              <w:rPr>
                <w:i/>
              </w:rPr>
              <w:t>0</w:t>
            </w:r>
          </w:p>
        </w:tc>
      </w:tr>
      <w:tr w:rsidR="00000000">
        <w:trPr>
          <w:trHeight w:val="845"/>
          <w:jc w:val="center"/>
        </w:trPr>
        <w:tc>
          <w:tcPr>
            <w:tcW w:w="1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right="-20"/>
              <w:jc w:val="center"/>
            </w:pPr>
            <w:r>
              <w:rPr>
                <w:sz w:val="28"/>
                <w:szCs w:val="28"/>
              </w:rPr>
              <w:t xml:space="preserve">□  </w:t>
            </w:r>
            <w:r>
              <w:t xml:space="preserve"> Variante A</w:t>
            </w:r>
          </w:p>
        </w:tc>
        <w:tc>
          <w:tcPr>
            <w:tcW w:w="47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right="86"/>
              <w:jc w:val="center"/>
            </w:pPr>
            <w:r>
              <w:t>Per sinistro Euro 10.000.000,00, con il l</w:t>
            </w:r>
            <w:r>
              <w:t>imite di RCT Unico 8.000.000,00</w:t>
            </w:r>
          </w:p>
          <w:p w:rsidR="00000000" w:rsidRDefault="005D033C">
            <w:pPr>
              <w:spacing w:after="0" w:line="100" w:lineRule="atLeast"/>
              <w:ind w:right="-20"/>
              <w:jc w:val="center"/>
            </w:pPr>
            <w:r>
              <w:t>RCO 6.000.000,00/3.000.000,00</w:t>
            </w:r>
          </w:p>
        </w:tc>
        <w:tc>
          <w:tcPr>
            <w:tcW w:w="14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left="58" w:right="282"/>
              <w:jc w:val="center"/>
            </w:pPr>
            <w:r>
              <w:t>5</w:t>
            </w:r>
          </w:p>
        </w:tc>
      </w:tr>
      <w:tr w:rsidR="00000000">
        <w:trPr>
          <w:trHeight w:val="856"/>
          <w:jc w:val="center"/>
        </w:trPr>
        <w:tc>
          <w:tcPr>
            <w:tcW w:w="1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right="-20"/>
              <w:jc w:val="center"/>
            </w:pPr>
            <w:r>
              <w:rPr>
                <w:sz w:val="28"/>
                <w:szCs w:val="28"/>
              </w:rPr>
              <w:t xml:space="preserve">□  </w:t>
            </w:r>
            <w:r>
              <w:t xml:space="preserve"> Variante B</w:t>
            </w:r>
          </w:p>
        </w:tc>
        <w:tc>
          <w:tcPr>
            <w:tcW w:w="47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right="86"/>
              <w:jc w:val="center"/>
            </w:pPr>
            <w:r>
              <w:t>Per sinistro Euro 12.000.000,00, con il limite di RCT Unico 10.000.000,00</w:t>
            </w:r>
          </w:p>
          <w:p w:rsidR="00000000" w:rsidRDefault="005D033C">
            <w:pPr>
              <w:spacing w:after="0" w:line="100" w:lineRule="atLeast"/>
              <w:ind w:right="-20"/>
              <w:jc w:val="center"/>
            </w:pPr>
            <w:r>
              <w:t>RCO 6.000.000,00/3.000.000,00</w:t>
            </w:r>
          </w:p>
        </w:tc>
        <w:tc>
          <w:tcPr>
            <w:tcW w:w="14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left="58" w:right="282"/>
              <w:jc w:val="center"/>
            </w:pPr>
            <w:r>
              <w:t>10</w:t>
            </w:r>
          </w:p>
        </w:tc>
      </w:tr>
      <w:tr w:rsidR="00000000">
        <w:trPr>
          <w:trHeight w:val="855"/>
          <w:jc w:val="center"/>
        </w:trPr>
        <w:tc>
          <w:tcPr>
            <w:tcW w:w="1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right="-20"/>
              <w:jc w:val="center"/>
            </w:pPr>
            <w:r>
              <w:rPr>
                <w:sz w:val="28"/>
                <w:szCs w:val="28"/>
              </w:rPr>
              <w:t xml:space="preserve">□  </w:t>
            </w:r>
            <w:r>
              <w:t xml:space="preserve"> Variante C</w:t>
            </w:r>
          </w:p>
        </w:tc>
        <w:tc>
          <w:tcPr>
            <w:tcW w:w="47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right="86"/>
              <w:jc w:val="center"/>
            </w:pPr>
            <w:r>
              <w:t>Per sinistro Euro 15.000.000,00, con il limite di RCT</w:t>
            </w:r>
            <w:r>
              <w:t xml:space="preserve"> Unico 12.000.000,00</w:t>
            </w:r>
          </w:p>
          <w:p w:rsidR="00000000" w:rsidRDefault="005D033C">
            <w:pPr>
              <w:spacing w:after="0" w:line="100" w:lineRule="atLeast"/>
              <w:ind w:right="-20"/>
              <w:jc w:val="center"/>
            </w:pPr>
            <w:r>
              <w:t>RCO 6.000.000,00/3.000.000,00</w:t>
            </w:r>
          </w:p>
        </w:tc>
        <w:tc>
          <w:tcPr>
            <w:tcW w:w="14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left="58" w:right="282"/>
              <w:jc w:val="center"/>
            </w:pPr>
            <w:r>
              <w:t>20</w:t>
            </w:r>
          </w:p>
        </w:tc>
      </w:tr>
    </w:tbl>
    <w:p w:rsidR="00000000" w:rsidRDefault="005D033C">
      <w:pPr>
        <w:spacing w:after="0" w:line="100" w:lineRule="atLeast"/>
      </w:pPr>
    </w:p>
    <w:p w:rsidR="00000000" w:rsidRDefault="005D033C">
      <w:pPr>
        <w:spacing w:after="0" w:line="100" w:lineRule="atLeast"/>
      </w:pPr>
    </w:p>
    <w:p w:rsidR="00000000" w:rsidRDefault="005D033C">
      <w:pPr>
        <w:spacing w:after="0" w:line="100" w:lineRule="atLeast"/>
      </w:pPr>
    </w:p>
    <w:p w:rsidR="00000000" w:rsidRDefault="005D033C">
      <w:pPr>
        <w:spacing w:after="0" w:line="100" w:lineRule="atLeast"/>
      </w:pPr>
    </w:p>
    <w:tbl>
      <w:tblPr>
        <w:tblW w:w="0" w:type="auto"/>
        <w:jc w:val="center"/>
        <w:tblLayout w:type="fixed"/>
        <w:tblLook w:val="0000" w:firstRow="0" w:lastRow="0" w:firstColumn="0" w:lastColumn="0" w:noHBand="0" w:noVBand="0"/>
      </w:tblPr>
      <w:tblGrid>
        <w:gridCol w:w="1572"/>
        <w:gridCol w:w="4944"/>
        <w:gridCol w:w="1417"/>
      </w:tblGrid>
      <w:tr w:rsidR="00000000">
        <w:trPr>
          <w:trHeight w:val="285"/>
          <w:jc w:val="center"/>
        </w:trPr>
        <w:tc>
          <w:tcPr>
            <w:tcW w:w="7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left="103" w:right="-20"/>
            </w:pPr>
            <w:r>
              <w:rPr>
                <w:b/>
              </w:rPr>
              <w:t>Variante n. 2</w:t>
            </w:r>
          </w:p>
        </w:tc>
      </w:tr>
      <w:tr w:rsidR="00000000">
        <w:trPr>
          <w:trHeight w:val="817"/>
          <w:jc w:val="center"/>
        </w:trPr>
        <w:tc>
          <w:tcPr>
            <w:tcW w:w="1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right="-20"/>
              <w:jc w:val="center"/>
              <w:rPr>
                <w:b/>
              </w:rPr>
            </w:pPr>
            <w:r>
              <w:rPr>
                <w:b/>
              </w:rPr>
              <w:t>Opzioni</w:t>
            </w:r>
          </w:p>
        </w:tc>
        <w:tc>
          <w:tcPr>
            <w:tcW w:w="49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left="161" w:right="226"/>
              <w:jc w:val="both"/>
              <w:rPr>
                <w:b/>
              </w:rPr>
            </w:pPr>
            <w:r>
              <w:rPr>
                <w:b/>
              </w:rPr>
              <w:t>Franchigia (articolo 2.6 del capitolato), Clausola 4.2 Scoperti, Franchigie, limiti d’indennizzo</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left="58" w:right="140"/>
              <w:jc w:val="center"/>
            </w:pPr>
            <w:r>
              <w:rPr>
                <w:b/>
              </w:rPr>
              <w:t>Punteggio</w:t>
            </w:r>
          </w:p>
        </w:tc>
      </w:tr>
      <w:tr w:rsidR="00000000">
        <w:trPr>
          <w:trHeight w:val="747"/>
          <w:jc w:val="center"/>
        </w:trPr>
        <w:tc>
          <w:tcPr>
            <w:tcW w:w="1572" w:type="dxa"/>
            <w:tcBorders>
              <w:top w:val="single" w:sz="4" w:space="0" w:color="000000"/>
              <w:left w:val="single" w:sz="4" w:space="0" w:color="000000"/>
              <w:bottom w:val="single" w:sz="4" w:space="0" w:color="000000"/>
              <w:right w:val="single" w:sz="4" w:space="0" w:color="000000"/>
            </w:tcBorders>
            <w:shd w:val="clear" w:color="auto" w:fill="DCDCDC"/>
            <w:vAlign w:val="center"/>
          </w:tcPr>
          <w:p w:rsidR="00000000" w:rsidRDefault="005D033C">
            <w:pPr>
              <w:spacing w:after="0" w:line="100" w:lineRule="atLeast"/>
              <w:ind w:right="-20"/>
              <w:jc w:val="center"/>
              <w:rPr>
                <w:i/>
                <w:color w:val="000000"/>
              </w:rPr>
            </w:pPr>
            <w:r>
              <w:rPr>
                <w:i/>
              </w:rPr>
              <w:t>Base di gara</w:t>
            </w:r>
          </w:p>
        </w:tc>
        <w:tc>
          <w:tcPr>
            <w:tcW w:w="4944" w:type="dxa"/>
            <w:tcBorders>
              <w:top w:val="single" w:sz="4" w:space="0" w:color="000000"/>
              <w:left w:val="single" w:sz="4" w:space="0" w:color="000000"/>
              <w:bottom w:val="single" w:sz="4" w:space="0" w:color="000000"/>
              <w:right w:val="single" w:sz="4" w:space="0" w:color="000000"/>
            </w:tcBorders>
            <w:shd w:val="clear" w:color="auto" w:fill="DCDCDC"/>
            <w:vAlign w:val="center"/>
          </w:tcPr>
          <w:p w:rsidR="00000000" w:rsidRDefault="005D033C">
            <w:pPr>
              <w:spacing w:after="0" w:line="100" w:lineRule="atLeast"/>
              <w:ind w:left="426"/>
              <w:jc w:val="both"/>
            </w:pPr>
            <w:r>
              <w:rPr>
                <w:i/>
                <w:color w:val="000000"/>
              </w:rPr>
              <w:t>per ogni sinistro, €</w:t>
            </w:r>
            <w:r>
              <w:rPr>
                <w:b/>
                <w:i/>
                <w:color w:val="000000"/>
              </w:rPr>
              <w:t>uro 1.000,00</w:t>
            </w:r>
            <w:r>
              <w:rPr>
                <w:i/>
                <w:color w:val="000000"/>
              </w:rPr>
              <w:t>;</w:t>
            </w:r>
          </w:p>
        </w:tc>
        <w:tc>
          <w:tcPr>
            <w:tcW w:w="1417" w:type="dxa"/>
            <w:tcBorders>
              <w:top w:val="single" w:sz="4" w:space="0" w:color="000000"/>
              <w:left w:val="single" w:sz="4" w:space="0" w:color="000000"/>
              <w:bottom w:val="single" w:sz="4" w:space="0" w:color="000000"/>
              <w:right w:val="single" w:sz="4" w:space="0" w:color="000000"/>
            </w:tcBorders>
            <w:shd w:val="clear" w:color="auto" w:fill="DCDCDC"/>
            <w:vAlign w:val="center"/>
          </w:tcPr>
          <w:p w:rsidR="00000000" w:rsidRDefault="005D033C">
            <w:pPr>
              <w:tabs>
                <w:tab w:val="left" w:pos="625"/>
              </w:tabs>
              <w:spacing w:after="0" w:line="100" w:lineRule="atLeast"/>
              <w:ind w:left="45" w:right="140"/>
              <w:jc w:val="center"/>
            </w:pPr>
            <w:r>
              <w:t>0</w:t>
            </w:r>
          </w:p>
        </w:tc>
      </w:tr>
      <w:tr w:rsidR="00000000">
        <w:trPr>
          <w:trHeight w:val="715"/>
          <w:jc w:val="center"/>
        </w:trPr>
        <w:tc>
          <w:tcPr>
            <w:tcW w:w="1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right="-20"/>
              <w:jc w:val="center"/>
              <w:rPr>
                <w:rFonts w:eastAsia="Calibri" w:cs="Calibri"/>
                <w:i/>
                <w:color w:val="000000"/>
                <w:sz w:val="22"/>
                <w:szCs w:val="22"/>
              </w:rPr>
            </w:pPr>
            <w:r>
              <w:rPr>
                <w:sz w:val="28"/>
                <w:szCs w:val="28"/>
              </w:rPr>
              <w:t xml:space="preserve">□  </w:t>
            </w:r>
            <w:r>
              <w:t xml:space="preserve"> Variante A</w:t>
            </w:r>
          </w:p>
        </w:tc>
        <w:tc>
          <w:tcPr>
            <w:tcW w:w="49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left="412"/>
              <w:jc w:val="both"/>
            </w:pPr>
            <w:r>
              <w:rPr>
                <w:rFonts w:eastAsia="Calibri" w:cs="Calibri"/>
                <w:i/>
                <w:color w:val="000000"/>
                <w:sz w:val="22"/>
                <w:szCs w:val="22"/>
              </w:rPr>
              <w:t>p</w:t>
            </w:r>
            <w:r>
              <w:rPr>
                <w:rFonts w:eastAsia="Calibri" w:cs="Calibri"/>
                <w:i/>
                <w:color w:val="000000"/>
                <w:sz w:val="22"/>
                <w:szCs w:val="22"/>
              </w:rPr>
              <w:t>er ogni sinistro, €</w:t>
            </w:r>
            <w:r>
              <w:rPr>
                <w:rFonts w:eastAsia="Calibri" w:cs="Calibri"/>
                <w:b/>
                <w:i/>
                <w:color w:val="000000"/>
                <w:sz w:val="22"/>
                <w:szCs w:val="22"/>
              </w:rPr>
              <w:t>uro 500,00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tabs>
                <w:tab w:val="left" w:pos="625"/>
              </w:tabs>
              <w:spacing w:after="0" w:line="100" w:lineRule="atLeast"/>
              <w:ind w:left="45" w:right="140"/>
              <w:jc w:val="center"/>
            </w:pPr>
            <w:r>
              <w:t>15</w:t>
            </w:r>
          </w:p>
        </w:tc>
      </w:tr>
    </w:tbl>
    <w:p w:rsidR="00000000" w:rsidRDefault="005D033C">
      <w:pPr>
        <w:spacing w:after="0" w:line="100" w:lineRule="atLeast"/>
      </w:pPr>
    </w:p>
    <w:p w:rsidR="00000000" w:rsidRDefault="005D033C">
      <w:pPr>
        <w:spacing w:after="0" w:line="100" w:lineRule="atLeast"/>
      </w:pPr>
    </w:p>
    <w:tbl>
      <w:tblPr>
        <w:tblW w:w="0" w:type="auto"/>
        <w:tblInd w:w="1379" w:type="dxa"/>
        <w:tblLayout w:type="fixed"/>
        <w:tblLook w:val="0000" w:firstRow="0" w:lastRow="0" w:firstColumn="0" w:lastColumn="0" w:noHBand="0" w:noVBand="0"/>
      </w:tblPr>
      <w:tblGrid>
        <w:gridCol w:w="1559"/>
        <w:gridCol w:w="4962"/>
        <w:gridCol w:w="1417"/>
      </w:tblGrid>
      <w:tr w:rsidR="00000000">
        <w:trPr>
          <w:trHeight w:val="285"/>
        </w:trPr>
        <w:tc>
          <w:tcPr>
            <w:tcW w:w="793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left="169" w:right="-20"/>
            </w:pPr>
            <w:r>
              <w:rPr>
                <w:b/>
              </w:rPr>
              <w:t>Variante n. 3</w:t>
            </w:r>
          </w:p>
        </w:tc>
      </w:tr>
      <w:tr w:rsidR="00000000">
        <w:trPr>
          <w:trHeight w:val="817"/>
        </w:trPr>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right="-20"/>
              <w:jc w:val="center"/>
              <w:rPr>
                <w:b/>
              </w:rPr>
            </w:pPr>
            <w:r>
              <w:rPr>
                <w:b/>
              </w:rPr>
              <w:t>Opzioni</w:t>
            </w:r>
          </w:p>
        </w:tc>
        <w:tc>
          <w:tcPr>
            <w:tcW w:w="49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left="161" w:right="226"/>
              <w:jc w:val="both"/>
              <w:rPr>
                <w:b/>
              </w:rPr>
            </w:pPr>
            <w:r>
              <w:rPr>
                <w:b/>
              </w:rPr>
              <w:t>Franchigia Danno biologico (articolo 2.1 del capitolato e tabella scoperti, franchigie, limiti di risarcimento)</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left="131" w:right="202"/>
              <w:jc w:val="center"/>
            </w:pPr>
            <w:r>
              <w:rPr>
                <w:b/>
              </w:rPr>
              <w:t>Punteggio</w:t>
            </w:r>
          </w:p>
        </w:tc>
      </w:tr>
      <w:tr w:rsidR="00000000">
        <w:trPr>
          <w:trHeight w:val="721"/>
        </w:trPr>
        <w:tc>
          <w:tcPr>
            <w:tcW w:w="1559" w:type="dxa"/>
            <w:tcBorders>
              <w:top w:val="single" w:sz="4" w:space="0" w:color="000000"/>
              <w:left w:val="single" w:sz="4" w:space="0" w:color="000000"/>
              <w:bottom w:val="single" w:sz="4" w:space="0" w:color="000000"/>
              <w:right w:val="single" w:sz="4" w:space="0" w:color="000000"/>
            </w:tcBorders>
            <w:shd w:val="clear" w:color="auto" w:fill="DCDCDC"/>
            <w:vAlign w:val="center"/>
          </w:tcPr>
          <w:p w:rsidR="00000000" w:rsidRDefault="005D033C">
            <w:pPr>
              <w:spacing w:after="0" w:line="100" w:lineRule="atLeast"/>
              <w:ind w:right="-20"/>
              <w:jc w:val="center"/>
              <w:rPr>
                <w:i/>
              </w:rPr>
            </w:pPr>
            <w:r>
              <w:rPr>
                <w:i/>
              </w:rPr>
              <w:t>Base di gara</w:t>
            </w:r>
          </w:p>
        </w:tc>
        <w:tc>
          <w:tcPr>
            <w:tcW w:w="4962" w:type="dxa"/>
            <w:tcBorders>
              <w:top w:val="single" w:sz="4" w:space="0" w:color="000000"/>
              <w:left w:val="single" w:sz="4" w:space="0" w:color="000000"/>
              <w:bottom w:val="single" w:sz="4" w:space="0" w:color="000000"/>
              <w:right w:val="single" w:sz="4" w:space="0" w:color="000000"/>
            </w:tcBorders>
            <w:shd w:val="clear" w:color="auto" w:fill="DCDCDC"/>
            <w:vAlign w:val="center"/>
          </w:tcPr>
          <w:p w:rsidR="00000000" w:rsidRDefault="005D033C">
            <w:pPr>
              <w:spacing w:after="0" w:line="100" w:lineRule="atLeast"/>
              <w:ind w:right="226"/>
              <w:jc w:val="center"/>
            </w:pPr>
            <w:r>
              <w:rPr>
                <w:i/>
              </w:rPr>
              <w:t xml:space="preserve">€ </w:t>
            </w:r>
            <w:r>
              <w:rPr>
                <w:i/>
              </w:rPr>
              <w:t>2.500,00</w:t>
            </w:r>
          </w:p>
        </w:tc>
        <w:tc>
          <w:tcPr>
            <w:tcW w:w="1417" w:type="dxa"/>
            <w:tcBorders>
              <w:top w:val="single" w:sz="4" w:space="0" w:color="000000"/>
              <w:left w:val="single" w:sz="4" w:space="0" w:color="000000"/>
              <w:bottom w:val="single" w:sz="4" w:space="0" w:color="000000"/>
              <w:right w:val="single" w:sz="4" w:space="0" w:color="000000"/>
            </w:tcBorders>
            <w:shd w:val="clear" w:color="auto" w:fill="DCDCDC"/>
            <w:vAlign w:val="center"/>
          </w:tcPr>
          <w:p w:rsidR="00000000" w:rsidRDefault="005D033C">
            <w:pPr>
              <w:spacing w:after="0" w:line="100" w:lineRule="atLeast"/>
              <w:ind w:left="131" w:right="81"/>
              <w:jc w:val="center"/>
            </w:pPr>
            <w:r>
              <w:t>0</w:t>
            </w:r>
          </w:p>
        </w:tc>
      </w:tr>
      <w:tr w:rsidR="00000000">
        <w:trPr>
          <w:trHeight w:val="721"/>
        </w:trPr>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right="-20"/>
              <w:jc w:val="center"/>
            </w:pPr>
            <w:r>
              <w:rPr>
                <w:sz w:val="28"/>
                <w:szCs w:val="28"/>
              </w:rPr>
              <w:t xml:space="preserve">□  </w:t>
            </w:r>
            <w:r>
              <w:t xml:space="preserve"> Variante A</w:t>
            </w:r>
          </w:p>
        </w:tc>
        <w:tc>
          <w:tcPr>
            <w:tcW w:w="49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right="226"/>
              <w:jc w:val="center"/>
            </w:pPr>
            <w:r>
              <w:t>Nessuna</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left="131" w:right="81"/>
              <w:jc w:val="center"/>
            </w:pPr>
            <w:r>
              <w:t>3</w:t>
            </w:r>
          </w:p>
        </w:tc>
      </w:tr>
    </w:tbl>
    <w:p w:rsidR="00000000" w:rsidRDefault="005D033C">
      <w:pPr>
        <w:spacing w:after="0" w:line="100" w:lineRule="atLeast"/>
      </w:pPr>
    </w:p>
    <w:p w:rsidR="00000000" w:rsidRDefault="005D033C">
      <w:pPr>
        <w:spacing w:after="0" w:line="100" w:lineRule="atLeast"/>
      </w:pPr>
    </w:p>
    <w:tbl>
      <w:tblPr>
        <w:tblW w:w="0" w:type="auto"/>
        <w:jc w:val="center"/>
        <w:tblLayout w:type="fixed"/>
        <w:tblLook w:val="0000" w:firstRow="0" w:lastRow="0" w:firstColumn="0" w:lastColumn="0" w:noHBand="0" w:noVBand="0"/>
      </w:tblPr>
      <w:tblGrid>
        <w:gridCol w:w="1577"/>
        <w:gridCol w:w="5081"/>
        <w:gridCol w:w="1275"/>
      </w:tblGrid>
      <w:tr w:rsidR="00000000">
        <w:trPr>
          <w:trHeight w:val="285"/>
          <w:jc w:val="center"/>
        </w:trPr>
        <w:tc>
          <w:tcPr>
            <w:tcW w:w="7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left="169" w:right="-20"/>
            </w:pPr>
            <w:r>
              <w:rPr>
                <w:b/>
              </w:rPr>
              <w:t>Variante n. 4</w:t>
            </w:r>
          </w:p>
        </w:tc>
      </w:tr>
      <w:tr w:rsidR="00000000">
        <w:trPr>
          <w:trHeight w:val="817"/>
          <w:jc w:val="center"/>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right="-20"/>
              <w:jc w:val="center"/>
              <w:rPr>
                <w:b/>
              </w:rPr>
            </w:pPr>
            <w:r>
              <w:rPr>
                <w:b/>
              </w:rPr>
              <w:t>Opzi</w:t>
            </w:r>
            <w:r>
              <w:rPr>
                <w:b/>
              </w:rPr>
              <w:t>oni</w:t>
            </w:r>
          </w:p>
        </w:tc>
        <w:tc>
          <w:tcPr>
            <w:tcW w:w="50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left="161" w:right="226"/>
              <w:jc w:val="both"/>
              <w:rPr>
                <w:b/>
              </w:rPr>
            </w:pPr>
            <w:r>
              <w:rPr>
                <w:b/>
              </w:rPr>
              <w:t xml:space="preserve">Esclusione rischio derivante da asbesto e amianto (articolo 2.5 lett. p) del capitolato)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left="58" w:right="140"/>
              <w:jc w:val="center"/>
            </w:pPr>
            <w:r>
              <w:rPr>
                <w:b/>
              </w:rPr>
              <w:t>Punteggio</w:t>
            </w:r>
          </w:p>
        </w:tc>
      </w:tr>
      <w:tr w:rsidR="00000000">
        <w:trPr>
          <w:trHeight w:val="721"/>
          <w:jc w:val="center"/>
        </w:trPr>
        <w:tc>
          <w:tcPr>
            <w:tcW w:w="1577" w:type="dxa"/>
            <w:tcBorders>
              <w:top w:val="single" w:sz="4" w:space="0" w:color="000000"/>
              <w:left w:val="single" w:sz="4" w:space="0" w:color="000000"/>
              <w:bottom w:val="single" w:sz="4" w:space="0" w:color="000000"/>
              <w:right w:val="single" w:sz="4" w:space="0" w:color="000000"/>
            </w:tcBorders>
            <w:shd w:val="clear" w:color="auto" w:fill="DCDCDC"/>
            <w:vAlign w:val="center"/>
          </w:tcPr>
          <w:p w:rsidR="00000000" w:rsidRDefault="005D033C">
            <w:pPr>
              <w:spacing w:after="0" w:line="100" w:lineRule="atLeast"/>
              <w:ind w:right="-20"/>
              <w:jc w:val="center"/>
              <w:rPr>
                <w:i/>
              </w:rPr>
            </w:pPr>
            <w:r>
              <w:rPr>
                <w:i/>
              </w:rPr>
              <w:t>Base di gara</w:t>
            </w:r>
          </w:p>
        </w:tc>
        <w:tc>
          <w:tcPr>
            <w:tcW w:w="5081" w:type="dxa"/>
            <w:tcBorders>
              <w:top w:val="single" w:sz="4" w:space="0" w:color="000000"/>
              <w:left w:val="single" w:sz="4" w:space="0" w:color="000000"/>
              <w:bottom w:val="single" w:sz="4" w:space="0" w:color="000000"/>
              <w:right w:val="single" w:sz="4" w:space="0" w:color="000000"/>
            </w:tcBorders>
            <w:shd w:val="clear" w:color="auto" w:fill="DCDCDC"/>
            <w:vAlign w:val="center"/>
          </w:tcPr>
          <w:p w:rsidR="00000000" w:rsidRDefault="005D033C">
            <w:pPr>
              <w:spacing w:after="0" w:line="100" w:lineRule="atLeast"/>
              <w:ind w:right="226"/>
              <w:jc w:val="center"/>
            </w:pPr>
            <w:r>
              <w:rPr>
                <w:i/>
              </w:rPr>
              <w:t>Rischio escluso</w:t>
            </w:r>
          </w:p>
        </w:tc>
        <w:tc>
          <w:tcPr>
            <w:tcW w:w="1275" w:type="dxa"/>
            <w:tcBorders>
              <w:top w:val="single" w:sz="4" w:space="0" w:color="000000"/>
              <w:left w:val="single" w:sz="4" w:space="0" w:color="000000"/>
              <w:bottom w:val="single" w:sz="4" w:space="0" w:color="000000"/>
              <w:right w:val="single" w:sz="4" w:space="0" w:color="000000"/>
            </w:tcBorders>
            <w:shd w:val="clear" w:color="auto" w:fill="DCDCDC"/>
            <w:vAlign w:val="center"/>
          </w:tcPr>
          <w:p w:rsidR="00000000" w:rsidRDefault="005D033C">
            <w:pPr>
              <w:tabs>
                <w:tab w:val="left" w:pos="625"/>
              </w:tabs>
              <w:spacing w:after="0" w:line="100" w:lineRule="atLeast"/>
              <w:ind w:left="45" w:right="140"/>
              <w:jc w:val="center"/>
            </w:pPr>
            <w:r>
              <w:t>0</w:t>
            </w:r>
          </w:p>
        </w:tc>
      </w:tr>
      <w:tr w:rsidR="00000000">
        <w:trPr>
          <w:trHeight w:val="721"/>
          <w:jc w:val="center"/>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right="-20"/>
              <w:jc w:val="center"/>
            </w:pPr>
            <w:r>
              <w:rPr>
                <w:sz w:val="28"/>
                <w:szCs w:val="28"/>
              </w:rPr>
              <w:t xml:space="preserve">□  </w:t>
            </w:r>
            <w:r>
              <w:t xml:space="preserve"> Variante A</w:t>
            </w:r>
          </w:p>
        </w:tc>
        <w:tc>
          <w:tcPr>
            <w:tcW w:w="50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right="226"/>
              <w:jc w:val="center"/>
            </w:pPr>
            <w:r>
              <w:t xml:space="preserve">Rischio NON escluso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tabs>
                <w:tab w:val="left" w:pos="625"/>
              </w:tabs>
              <w:spacing w:after="0" w:line="100" w:lineRule="atLeast"/>
              <w:ind w:left="45" w:right="140"/>
              <w:jc w:val="center"/>
            </w:pPr>
            <w:r>
              <w:t>4</w:t>
            </w:r>
          </w:p>
        </w:tc>
      </w:tr>
    </w:tbl>
    <w:p w:rsidR="00000000" w:rsidRDefault="005D033C">
      <w:pPr>
        <w:spacing w:after="0" w:line="100" w:lineRule="atLeast"/>
      </w:pPr>
    </w:p>
    <w:p w:rsidR="00000000" w:rsidRDefault="005D033C">
      <w:pPr>
        <w:spacing w:after="0" w:line="100" w:lineRule="atLeast"/>
      </w:pPr>
    </w:p>
    <w:tbl>
      <w:tblPr>
        <w:tblW w:w="0" w:type="auto"/>
        <w:jc w:val="center"/>
        <w:tblLayout w:type="fixed"/>
        <w:tblLook w:val="0000" w:firstRow="0" w:lastRow="0" w:firstColumn="0" w:lastColumn="0" w:noHBand="0" w:noVBand="0"/>
      </w:tblPr>
      <w:tblGrid>
        <w:gridCol w:w="1572"/>
        <w:gridCol w:w="5086"/>
        <w:gridCol w:w="1275"/>
      </w:tblGrid>
      <w:tr w:rsidR="00000000">
        <w:trPr>
          <w:trHeight w:val="285"/>
          <w:jc w:val="center"/>
        </w:trPr>
        <w:tc>
          <w:tcPr>
            <w:tcW w:w="7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left="169" w:right="-20"/>
            </w:pPr>
            <w:r>
              <w:rPr>
                <w:b/>
              </w:rPr>
              <w:t>Variante n. 5</w:t>
            </w:r>
          </w:p>
        </w:tc>
      </w:tr>
      <w:tr w:rsidR="00000000">
        <w:trPr>
          <w:trHeight w:val="817"/>
          <w:jc w:val="center"/>
        </w:trPr>
        <w:tc>
          <w:tcPr>
            <w:tcW w:w="1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right="-20"/>
              <w:jc w:val="center"/>
              <w:rPr>
                <w:b/>
              </w:rPr>
            </w:pPr>
            <w:r>
              <w:rPr>
                <w:b/>
              </w:rPr>
              <w:t>Opzioni</w:t>
            </w:r>
          </w:p>
        </w:tc>
        <w:tc>
          <w:tcPr>
            <w:tcW w:w="50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left="161" w:right="226"/>
              <w:jc w:val="both"/>
              <w:rPr>
                <w:b/>
              </w:rPr>
            </w:pPr>
            <w:r>
              <w:rPr>
                <w:b/>
              </w:rPr>
              <w:t>Esclusione rischio derivante da terrorismo (articolo 2.</w:t>
            </w:r>
            <w:r>
              <w:rPr>
                <w:b/>
              </w:rPr>
              <w:t xml:space="preserve">5 lett. s) del capitolato)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left="58" w:right="140"/>
              <w:jc w:val="center"/>
            </w:pPr>
            <w:r>
              <w:rPr>
                <w:b/>
              </w:rPr>
              <w:t>Punteggio</w:t>
            </w:r>
          </w:p>
        </w:tc>
      </w:tr>
      <w:tr w:rsidR="00000000">
        <w:trPr>
          <w:trHeight w:val="721"/>
          <w:jc w:val="center"/>
        </w:trPr>
        <w:tc>
          <w:tcPr>
            <w:tcW w:w="1572" w:type="dxa"/>
            <w:tcBorders>
              <w:top w:val="single" w:sz="4" w:space="0" w:color="000000"/>
              <w:left w:val="single" w:sz="4" w:space="0" w:color="000000"/>
              <w:bottom w:val="single" w:sz="4" w:space="0" w:color="000000"/>
              <w:right w:val="single" w:sz="4" w:space="0" w:color="000000"/>
            </w:tcBorders>
            <w:shd w:val="clear" w:color="auto" w:fill="DCDCDC"/>
            <w:vAlign w:val="center"/>
          </w:tcPr>
          <w:p w:rsidR="00000000" w:rsidRDefault="005D033C">
            <w:pPr>
              <w:spacing w:after="0" w:line="100" w:lineRule="atLeast"/>
              <w:ind w:right="-20"/>
              <w:jc w:val="center"/>
              <w:rPr>
                <w:i/>
              </w:rPr>
            </w:pPr>
            <w:r>
              <w:rPr>
                <w:i/>
              </w:rPr>
              <w:t>Base di gara</w:t>
            </w:r>
          </w:p>
        </w:tc>
        <w:tc>
          <w:tcPr>
            <w:tcW w:w="5086" w:type="dxa"/>
            <w:tcBorders>
              <w:top w:val="single" w:sz="4" w:space="0" w:color="000000"/>
              <w:left w:val="single" w:sz="4" w:space="0" w:color="000000"/>
              <w:bottom w:val="single" w:sz="4" w:space="0" w:color="000000"/>
              <w:right w:val="single" w:sz="4" w:space="0" w:color="000000"/>
            </w:tcBorders>
            <w:shd w:val="clear" w:color="auto" w:fill="DCDCDC"/>
            <w:vAlign w:val="center"/>
          </w:tcPr>
          <w:p w:rsidR="00000000" w:rsidRDefault="005D033C">
            <w:pPr>
              <w:spacing w:after="0" w:line="100" w:lineRule="atLeast"/>
              <w:ind w:right="226"/>
              <w:jc w:val="center"/>
            </w:pPr>
            <w:r>
              <w:rPr>
                <w:i/>
              </w:rPr>
              <w:t>Rischio escluso</w:t>
            </w:r>
          </w:p>
        </w:tc>
        <w:tc>
          <w:tcPr>
            <w:tcW w:w="1275" w:type="dxa"/>
            <w:tcBorders>
              <w:top w:val="single" w:sz="4" w:space="0" w:color="000000"/>
              <w:left w:val="single" w:sz="4" w:space="0" w:color="000000"/>
              <w:bottom w:val="single" w:sz="4" w:space="0" w:color="000000"/>
              <w:right w:val="single" w:sz="4" w:space="0" w:color="000000"/>
            </w:tcBorders>
            <w:shd w:val="clear" w:color="auto" w:fill="DCDCDC"/>
            <w:vAlign w:val="center"/>
          </w:tcPr>
          <w:p w:rsidR="00000000" w:rsidRDefault="005D033C">
            <w:pPr>
              <w:tabs>
                <w:tab w:val="left" w:pos="625"/>
              </w:tabs>
              <w:spacing w:after="0" w:line="100" w:lineRule="atLeast"/>
              <w:ind w:left="45" w:right="140"/>
              <w:jc w:val="center"/>
            </w:pPr>
            <w:r>
              <w:t>0</w:t>
            </w:r>
          </w:p>
        </w:tc>
      </w:tr>
      <w:tr w:rsidR="00000000">
        <w:trPr>
          <w:trHeight w:val="721"/>
          <w:jc w:val="center"/>
        </w:trPr>
        <w:tc>
          <w:tcPr>
            <w:tcW w:w="1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right="-20"/>
              <w:jc w:val="center"/>
            </w:pPr>
            <w:r>
              <w:rPr>
                <w:sz w:val="28"/>
                <w:szCs w:val="28"/>
              </w:rPr>
              <w:t xml:space="preserve">□  </w:t>
            </w:r>
            <w:r>
              <w:t xml:space="preserve"> Variante A</w:t>
            </w:r>
          </w:p>
        </w:tc>
        <w:tc>
          <w:tcPr>
            <w:tcW w:w="50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right="226"/>
              <w:jc w:val="center"/>
            </w:pPr>
            <w:r>
              <w:t xml:space="preserve">Rischio NON escluso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tabs>
                <w:tab w:val="left" w:pos="625"/>
              </w:tabs>
              <w:spacing w:after="0" w:line="100" w:lineRule="atLeast"/>
              <w:ind w:left="45" w:right="140"/>
              <w:jc w:val="center"/>
            </w:pPr>
            <w:r>
              <w:t>2</w:t>
            </w:r>
          </w:p>
        </w:tc>
      </w:tr>
    </w:tbl>
    <w:p w:rsidR="00000000" w:rsidRDefault="005D033C">
      <w:pPr>
        <w:spacing w:after="0" w:line="100" w:lineRule="atLeast"/>
      </w:pPr>
    </w:p>
    <w:p w:rsidR="00000000" w:rsidRDefault="005D033C">
      <w:pPr>
        <w:spacing w:after="0" w:line="100" w:lineRule="atLeast"/>
      </w:pPr>
    </w:p>
    <w:tbl>
      <w:tblPr>
        <w:tblW w:w="0" w:type="auto"/>
        <w:jc w:val="center"/>
        <w:tblLayout w:type="fixed"/>
        <w:tblLook w:val="0000" w:firstRow="0" w:lastRow="0" w:firstColumn="0" w:lastColumn="0" w:noHBand="0" w:noVBand="0"/>
      </w:tblPr>
      <w:tblGrid>
        <w:gridCol w:w="1572"/>
        <w:gridCol w:w="5086"/>
        <w:gridCol w:w="1275"/>
      </w:tblGrid>
      <w:tr w:rsidR="00000000">
        <w:trPr>
          <w:trHeight w:val="285"/>
          <w:jc w:val="center"/>
        </w:trPr>
        <w:tc>
          <w:tcPr>
            <w:tcW w:w="7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left="169" w:right="-20"/>
            </w:pPr>
            <w:r>
              <w:rPr>
                <w:b/>
              </w:rPr>
              <w:t>Variante n. 6</w:t>
            </w:r>
          </w:p>
        </w:tc>
      </w:tr>
      <w:tr w:rsidR="00000000">
        <w:trPr>
          <w:trHeight w:val="968"/>
          <w:jc w:val="center"/>
        </w:trPr>
        <w:tc>
          <w:tcPr>
            <w:tcW w:w="1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left="169" w:right="122"/>
              <w:jc w:val="center"/>
              <w:rPr>
                <w:b/>
              </w:rPr>
            </w:pPr>
            <w:r>
              <w:rPr>
                <w:b/>
              </w:rPr>
              <w:t>Opzioni</w:t>
            </w:r>
          </w:p>
        </w:tc>
        <w:tc>
          <w:tcPr>
            <w:tcW w:w="50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left="103" w:right="226"/>
              <w:jc w:val="both"/>
              <w:rPr>
                <w:b/>
              </w:rPr>
            </w:pPr>
            <w:r>
              <w:rPr>
                <w:b/>
              </w:rPr>
              <w:t>Limite risarcimento Interruzioni/sospensioni di attività di terzi (articolo 3.2 del capitolato e tabella scoperti, franch</w:t>
            </w:r>
            <w:r>
              <w:rPr>
                <w:b/>
              </w:rPr>
              <w:t>igie, limiti di risarcimento)</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left="144"/>
            </w:pPr>
            <w:r>
              <w:rPr>
                <w:b/>
              </w:rPr>
              <w:t>Punteggio</w:t>
            </w:r>
          </w:p>
        </w:tc>
      </w:tr>
      <w:tr w:rsidR="00000000">
        <w:trPr>
          <w:trHeight w:val="721"/>
          <w:jc w:val="center"/>
        </w:trPr>
        <w:tc>
          <w:tcPr>
            <w:tcW w:w="1572" w:type="dxa"/>
            <w:tcBorders>
              <w:top w:val="single" w:sz="4" w:space="0" w:color="000000"/>
              <w:left w:val="single" w:sz="4" w:space="0" w:color="000000"/>
              <w:bottom w:val="single" w:sz="4" w:space="0" w:color="000000"/>
              <w:right w:val="single" w:sz="4" w:space="0" w:color="000000"/>
            </w:tcBorders>
            <w:shd w:val="clear" w:color="auto" w:fill="DCDCDC"/>
            <w:vAlign w:val="center"/>
          </w:tcPr>
          <w:p w:rsidR="00000000" w:rsidRDefault="005D033C">
            <w:pPr>
              <w:spacing w:after="0" w:line="100" w:lineRule="atLeast"/>
              <w:ind w:left="157" w:right="122"/>
              <w:jc w:val="center"/>
              <w:rPr>
                <w:i/>
              </w:rPr>
            </w:pPr>
            <w:r>
              <w:rPr>
                <w:i/>
              </w:rPr>
              <w:t>Base di gara</w:t>
            </w:r>
          </w:p>
        </w:tc>
        <w:tc>
          <w:tcPr>
            <w:tcW w:w="5086" w:type="dxa"/>
            <w:tcBorders>
              <w:top w:val="single" w:sz="4" w:space="0" w:color="000000"/>
              <w:left w:val="single" w:sz="4" w:space="0" w:color="000000"/>
              <w:bottom w:val="single" w:sz="4" w:space="0" w:color="000000"/>
              <w:right w:val="single" w:sz="4" w:space="0" w:color="000000"/>
            </w:tcBorders>
            <w:shd w:val="clear" w:color="auto" w:fill="DCDCDC"/>
            <w:vAlign w:val="center"/>
          </w:tcPr>
          <w:p w:rsidR="00000000" w:rsidRDefault="005D033C">
            <w:pPr>
              <w:spacing w:after="0" w:line="100" w:lineRule="atLeast"/>
              <w:ind w:right="81"/>
              <w:jc w:val="center"/>
              <w:rPr>
                <w:i/>
              </w:rPr>
            </w:pPr>
            <w:r>
              <w:rPr>
                <w:i/>
              </w:rPr>
              <w:t xml:space="preserve">€ </w:t>
            </w:r>
            <w:r>
              <w:rPr>
                <w:i/>
              </w:rPr>
              <w:t>500.000,00</w:t>
            </w:r>
          </w:p>
        </w:tc>
        <w:tc>
          <w:tcPr>
            <w:tcW w:w="1275" w:type="dxa"/>
            <w:tcBorders>
              <w:top w:val="single" w:sz="4" w:space="0" w:color="000000"/>
              <w:left w:val="single" w:sz="4" w:space="0" w:color="000000"/>
              <w:bottom w:val="single" w:sz="4" w:space="0" w:color="000000"/>
              <w:right w:val="single" w:sz="4" w:space="0" w:color="000000"/>
            </w:tcBorders>
            <w:shd w:val="clear" w:color="auto" w:fill="DCDCDC"/>
            <w:vAlign w:val="center"/>
          </w:tcPr>
          <w:p w:rsidR="00000000" w:rsidRDefault="005D033C">
            <w:pPr>
              <w:spacing w:after="0" w:line="100" w:lineRule="atLeast"/>
              <w:ind w:left="609" w:right="609"/>
              <w:jc w:val="center"/>
            </w:pPr>
            <w:r>
              <w:rPr>
                <w:i/>
              </w:rPr>
              <w:t>0</w:t>
            </w:r>
          </w:p>
        </w:tc>
      </w:tr>
      <w:tr w:rsidR="00000000">
        <w:trPr>
          <w:trHeight w:val="721"/>
          <w:jc w:val="center"/>
        </w:trPr>
        <w:tc>
          <w:tcPr>
            <w:tcW w:w="1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left="103" w:right="122"/>
              <w:jc w:val="center"/>
            </w:pPr>
            <w:r>
              <w:rPr>
                <w:sz w:val="28"/>
                <w:szCs w:val="28"/>
              </w:rPr>
              <w:lastRenderedPageBreak/>
              <w:t xml:space="preserve">□  </w:t>
            </w:r>
            <w:r>
              <w:t xml:space="preserve"> Variante A</w:t>
            </w:r>
          </w:p>
        </w:tc>
        <w:tc>
          <w:tcPr>
            <w:tcW w:w="50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right="81"/>
              <w:jc w:val="center"/>
            </w:pPr>
            <w:r>
              <w:t>€ 750.000,00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left="611" w:right="587"/>
              <w:jc w:val="center"/>
            </w:pPr>
            <w:r>
              <w:t>2</w:t>
            </w:r>
          </w:p>
        </w:tc>
      </w:tr>
      <w:tr w:rsidR="00000000">
        <w:trPr>
          <w:trHeight w:val="721"/>
          <w:jc w:val="center"/>
        </w:trPr>
        <w:tc>
          <w:tcPr>
            <w:tcW w:w="1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left="103" w:right="122"/>
              <w:jc w:val="center"/>
            </w:pPr>
            <w:r>
              <w:rPr>
                <w:sz w:val="28"/>
                <w:szCs w:val="28"/>
              </w:rPr>
              <w:t xml:space="preserve">□  </w:t>
            </w:r>
            <w:r>
              <w:t xml:space="preserve"> Variante B</w:t>
            </w:r>
          </w:p>
        </w:tc>
        <w:tc>
          <w:tcPr>
            <w:tcW w:w="50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right="81"/>
              <w:jc w:val="center"/>
            </w:pPr>
            <w:r>
              <w:t>€ 1.000.000,00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left="611" w:right="587"/>
              <w:jc w:val="center"/>
            </w:pPr>
            <w:r>
              <w:t>6</w:t>
            </w:r>
          </w:p>
        </w:tc>
      </w:tr>
    </w:tbl>
    <w:p w:rsidR="00000000" w:rsidRDefault="005D033C">
      <w:pPr>
        <w:spacing w:after="0" w:line="100" w:lineRule="atLeast"/>
      </w:pPr>
    </w:p>
    <w:p w:rsidR="00000000" w:rsidRDefault="005D033C">
      <w:pPr>
        <w:spacing w:after="0" w:line="100" w:lineRule="atLeast"/>
      </w:pPr>
    </w:p>
    <w:tbl>
      <w:tblPr>
        <w:tblW w:w="0" w:type="auto"/>
        <w:jc w:val="center"/>
        <w:tblLayout w:type="fixed"/>
        <w:tblLook w:val="0000" w:firstRow="0" w:lastRow="0" w:firstColumn="0" w:lastColumn="0" w:noHBand="0" w:noVBand="0"/>
      </w:tblPr>
      <w:tblGrid>
        <w:gridCol w:w="1572"/>
        <w:gridCol w:w="5086"/>
        <w:gridCol w:w="1275"/>
      </w:tblGrid>
      <w:tr w:rsidR="00000000">
        <w:trPr>
          <w:trHeight w:val="285"/>
          <w:jc w:val="center"/>
        </w:trPr>
        <w:tc>
          <w:tcPr>
            <w:tcW w:w="7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left="169" w:right="-20"/>
            </w:pPr>
            <w:r>
              <w:rPr>
                <w:b/>
              </w:rPr>
              <w:t>Variante n. 7</w:t>
            </w:r>
          </w:p>
        </w:tc>
      </w:tr>
      <w:tr w:rsidR="00000000">
        <w:trPr>
          <w:trHeight w:val="817"/>
          <w:jc w:val="center"/>
        </w:trPr>
        <w:tc>
          <w:tcPr>
            <w:tcW w:w="1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left="169" w:right="122"/>
              <w:jc w:val="center"/>
              <w:rPr>
                <w:b/>
              </w:rPr>
            </w:pPr>
            <w:r>
              <w:rPr>
                <w:b/>
              </w:rPr>
              <w:t>Opzioni</w:t>
            </w:r>
          </w:p>
        </w:tc>
        <w:tc>
          <w:tcPr>
            <w:tcW w:w="50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left="161" w:right="226"/>
              <w:jc w:val="both"/>
              <w:rPr>
                <w:b/>
              </w:rPr>
            </w:pPr>
            <w:r>
              <w:rPr>
                <w:b/>
              </w:rPr>
              <w:t xml:space="preserve">Franchigia Danni da incendio (articolo 3.6 del capitolato e tabella scoperti, franchigie, limiti </w:t>
            </w:r>
            <w:r>
              <w:rPr>
                <w:b/>
              </w:rPr>
              <w:t>di risarcimento)</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left="3"/>
              <w:jc w:val="center"/>
            </w:pPr>
            <w:r>
              <w:rPr>
                <w:b/>
              </w:rPr>
              <w:t>Punteggio</w:t>
            </w:r>
          </w:p>
        </w:tc>
      </w:tr>
      <w:tr w:rsidR="00000000">
        <w:trPr>
          <w:trHeight w:val="721"/>
          <w:jc w:val="center"/>
        </w:trPr>
        <w:tc>
          <w:tcPr>
            <w:tcW w:w="1572" w:type="dxa"/>
            <w:tcBorders>
              <w:top w:val="single" w:sz="4" w:space="0" w:color="000000"/>
              <w:left w:val="single" w:sz="4" w:space="0" w:color="000000"/>
              <w:bottom w:val="single" w:sz="4" w:space="0" w:color="000000"/>
              <w:right w:val="single" w:sz="4" w:space="0" w:color="000000"/>
            </w:tcBorders>
            <w:shd w:val="clear" w:color="auto" w:fill="DCDCDC"/>
            <w:vAlign w:val="center"/>
          </w:tcPr>
          <w:p w:rsidR="00000000" w:rsidRDefault="005D033C">
            <w:pPr>
              <w:spacing w:after="0" w:line="100" w:lineRule="atLeast"/>
              <w:ind w:left="169" w:right="122"/>
              <w:jc w:val="center"/>
              <w:rPr>
                <w:i/>
              </w:rPr>
            </w:pPr>
            <w:r>
              <w:rPr>
                <w:i/>
              </w:rPr>
              <w:t>Base di gara</w:t>
            </w:r>
          </w:p>
        </w:tc>
        <w:tc>
          <w:tcPr>
            <w:tcW w:w="5086" w:type="dxa"/>
            <w:tcBorders>
              <w:top w:val="single" w:sz="4" w:space="0" w:color="000000"/>
              <w:left w:val="single" w:sz="4" w:space="0" w:color="000000"/>
              <w:bottom w:val="single" w:sz="4" w:space="0" w:color="000000"/>
              <w:right w:val="single" w:sz="4" w:space="0" w:color="000000"/>
            </w:tcBorders>
            <w:shd w:val="clear" w:color="auto" w:fill="DCDCDC"/>
            <w:vAlign w:val="center"/>
          </w:tcPr>
          <w:p w:rsidR="00000000" w:rsidRDefault="005D033C">
            <w:pPr>
              <w:spacing w:after="0" w:line="100" w:lineRule="atLeast"/>
              <w:ind w:left="161" w:right="226"/>
              <w:jc w:val="center"/>
              <w:rPr>
                <w:i/>
              </w:rPr>
            </w:pPr>
            <w:r>
              <w:rPr>
                <w:i/>
              </w:rPr>
              <w:t xml:space="preserve">€ </w:t>
            </w:r>
            <w:r>
              <w:rPr>
                <w:i/>
              </w:rPr>
              <w:t>2.500,00</w:t>
            </w:r>
          </w:p>
        </w:tc>
        <w:tc>
          <w:tcPr>
            <w:tcW w:w="1275" w:type="dxa"/>
            <w:tcBorders>
              <w:top w:val="single" w:sz="4" w:space="0" w:color="000000"/>
              <w:left w:val="single" w:sz="4" w:space="0" w:color="000000"/>
              <w:bottom w:val="single" w:sz="4" w:space="0" w:color="000000"/>
              <w:right w:val="single" w:sz="4" w:space="0" w:color="000000"/>
            </w:tcBorders>
            <w:shd w:val="clear" w:color="auto" w:fill="DCDCDC"/>
            <w:vAlign w:val="center"/>
          </w:tcPr>
          <w:p w:rsidR="00000000" w:rsidRDefault="005D033C">
            <w:pPr>
              <w:spacing w:after="0" w:line="100" w:lineRule="atLeast"/>
              <w:ind w:left="200" w:right="140"/>
              <w:jc w:val="center"/>
            </w:pPr>
            <w:r>
              <w:rPr>
                <w:i/>
              </w:rPr>
              <w:t>0</w:t>
            </w:r>
          </w:p>
        </w:tc>
      </w:tr>
      <w:tr w:rsidR="00000000">
        <w:trPr>
          <w:trHeight w:val="721"/>
          <w:jc w:val="center"/>
        </w:trPr>
        <w:tc>
          <w:tcPr>
            <w:tcW w:w="1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left="169" w:right="122"/>
              <w:jc w:val="center"/>
            </w:pPr>
            <w:r>
              <w:rPr>
                <w:sz w:val="28"/>
                <w:szCs w:val="28"/>
              </w:rPr>
              <w:t xml:space="preserve">□  </w:t>
            </w:r>
            <w:r>
              <w:t xml:space="preserve"> Variante A</w:t>
            </w:r>
          </w:p>
        </w:tc>
        <w:tc>
          <w:tcPr>
            <w:tcW w:w="50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left="161" w:right="226"/>
              <w:jc w:val="center"/>
            </w:pPr>
            <w:r>
              <w:t>€ 1.500,00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left="200" w:right="140"/>
              <w:jc w:val="center"/>
            </w:pPr>
            <w:r>
              <w:t>2</w:t>
            </w:r>
          </w:p>
        </w:tc>
      </w:tr>
      <w:tr w:rsidR="00000000">
        <w:trPr>
          <w:trHeight w:val="721"/>
          <w:jc w:val="center"/>
        </w:trPr>
        <w:tc>
          <w:tcPr>
            <w:tcW w:w="1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left="169" w:right="122"/>
              <w:jc w:val="center"/>
            </w:pPr>
            <w:r>
              <w:rPr>
                <w:sz w:val="28"/>
                <w:szCs w:val="28"/>
              </w:rPr>
              <w:t xml:space="preserve">□  </w:t>
            </w:r>
            <w:r>
              <w:t xml:space="preserve"> Variante B</w:t>
            </w:r>
          </w:p>
        </w:tc>
        <w:tc>
          <w:tcPr>
            <w:tcW w:w="50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left="161" w:right="226"/>
              <w:jc w:val="center"/>
            </w:pPr>
            <w:r>
              <w:t>€ 1.000,00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left="200" w:right="140"/>
              <w:jc w:val="center"/>
            </w:pPr>
            <w:r>
              <w:t>5</w:t>
            </w:r>
          </w:p>
        </w:tc>
      </w:tr>
    </w:tbl>
    <w:p w:rsidR="00000000" w:rsidRDefault="005D033C">
      <w:pPr>
        <w:spacing w:after="0" w:line="100" w:lineRule="atLeast"/>
      </w:pPr>
    </w:p>
    <w:p w:rsidR="00000000" w:rsidRDefault="005D033C">
      <w:pPr>
        <w:spacing w:after="0" w:line="100" w:lineRule="atLeast"/>
      </w:pPr>
    </w:p>
    <w:tbl>
      <w:tblPr>
        <w:tblW w:w="0" w:type="auto"/>
        <w:jc w:val="center"/>
        <w:tblLayout w:type="fixed"/>
        <w:tblLook w:val="0000" w:firstRow="0" w:lastRow="0" w:firstColumn="0" w:lastColumn="0" w:noHBand="0" w:noVBand="0"/>
      </w:tblPr>
      <w:tblGrid>
        <w:gridCol w:w="1718"/>
        <w:gridCol w:w="4945"/>
        <w:gridCol w:w="1276"/>
      </w:tblGrid>
      <w:tr w:rsidR="00000000">
        <w:trPr>
          <w:trHeight w:val="285"/>
          <w:jc w:val="center"/>
        </w:trPr>
        <w:tc>
          <w:tcPr>
            <w:tcW w:w="793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left="169" w:right="-20"/>
            </w:pPr>
            <w:r>
              <w:rPr>
                <w:b/>
              </w:rPr>
              <w:t>Variante n. 8</w:t>
            </w:r>
          </w:p>
        </w:tc>
      </w:tr>
      <w:tr w:rsidR="00000000">
        <w:trPr>
          <w:trHeight w:val="1077"/>
          <w:jc w:val="center"/>
        </w:trPr>
        <w:tc>
          <w:tcPr>
            <w:tcW w:w="1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left="169" w:right="264"/>
              <w:jc w:val="center"/>
              <w:rPr>
                <w:b/>
              </w:rPr>
            </w:pPr>
            <w:r>
              <w:rPr>
                <w:b/>
              </w:rPr>
              <w:t>Opzioni</w:t>
            </w:r>
          </w:p>
        </w:tc>
        <w:tc>
          <w:tcPr>
            <w:tcW w:w="4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left="161" w:right="226"/>
              <w:jc w:val="both"/>
              <w:rPr>
                <w:b/>
              </w:rPr>
            </w:pPr>
            <w:r>
              <w:rPr>
                <w:b/>
              </w:rPr>
              <w:t>Limiti risarcimento danni da Danni da cedimento o franamento del terreno (articoli 3.11 del capitolato e tabella scope</w:t>
            </w:r>
            <w:r>
              <w:rPr>
                <w:b/>
              </w:rPr>
              <w:t>rti, franchigie, limiti di risarcimento)</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left="58" w:right="140"/>
              <w:jc w:val="center"/>
            </w:pPr>
            <w:r>
              <w:rPr>
                <w:b/>
              </w:rPr>
              <w:t>Punteggio</w:t>
            </w:r>
          </w:p>
        </w:tc>
      </w:tr>
      <w:tr w:rsidR="00000000">
        <w:trPr>
          <w:trHeight w:val="721"/>
          <w:jc w:val="center"/>
        </w:trPr>
        <w:tc>
          <w:tcPr>
            <w:tcW w:w="1718" w:type="dxa"/>
            <w:tcBorders>
              <w:top w:val="single" w:sz="4" w:space="0" w:color="000000"/>
              <w:left w:val="single" w:sz="4" w:space="0" w:color="000000"/>
              <w:bottom w:val="single" w:sz="4" w:space="0" w:color="000000"/>
              <w:right w:val="single" w:sz="4" w:space="0" w:color="000000"/>
            </w:tcBorders>
            <w:shd w:val="clear" w:color="auto" w:fill="DCDCDC"/>
            <w:vAlign w:val="center"/>
          </w:tcPr>
          <w:p w:rsidR="00000000" w:rsidRDefault="005D033C">
            <w:pPr>
              <w:spacing w:after="0" w:line="100" w:lineRule="atLeast"/>
              <w:ind w:left="169" w:right="264"/>
              <w:jc w:val="center"/>
              <w:rPr>
                <w:i/>
              </w:rPr>
            </w:pPr>
            <w:r>
              <w:rPr>
                <w:i/>
              </w:rPr>
              <w:t>Base di gara</w:t>
            </w:r>
          </w:p>
        </w:tc>
        <w:tc>
          <w:tcPr>
            <w:tcW w:w="4945" w:type="dxa"/>
            <w:tcBorders>
              <w:top w:val="single" w:sz="4" w:space="0" w:color="000000"/>
              <w:left w:val="single" w:sz="4" w:space="0" w:color="000000"/>
              <w:bottom w:val="single" w:sz="4" w:space="0" w:color="000000"/>
              <w:right w:val="single" w:sz="4" w:space="0" w:color="000000"/>
            </w:tcBorders>
            <w:shd w:val="clear" w:color="auto" w:fill="DCDCDC"/>
            <w:vAlign w:val="center"/>
          </w:tcPr>
          <w:p w:rsidR="00000000" w:rsidRDefault="005D033C">
            <w:pPr>
              <w:spacing w:after="0" w:line="100" w:lineRule="atLeast"/>
              <w:ind w:right="81"/>
              <w:jc w:val="center"/>
              <w:rPr>
                <w:i/>
              </w:rPr>
            </w:pPr>
            <w:r>
              <w:rPr>
                <w:i/>
              </w:rPr>
              <w:t xml:space="preserve">€ </w:t>
            </w:r>
            <w:r>
              <w:rPr>
                <w:i/>
              </w:rPr>
              <w:t>500.000,00</w:t>
            </w:r>
          </w:p>
        </w:tc>
        <w:tc>
          <w:tcPr>
            <w:tcW w:w="1276" w:type="dxa"/>
            <w:tcBorders>
              <w:top w:val="single" w:sz="4" w:space="0" w:color="000000"/>
              <w:left w:val="single" w:sz="4" w:space="0" w:color="000000"/>
              <w:bottom w:val="single" w:sz="4" w:space="0" w:color="000000"/>
              <w:right w:val="single" w:sz="4" w:space="0" w:color="000000"/>
            </w:tcBorders>
            <w:shd w:val="clear" w:color="auto" w:fill="DCDCDC"/>
            <w:vAlign w:val="center"/>
          </w:tcPr>
          <w:p w:rsidR="00000000" w:rsidRDefault="005D033C">
            <w:pPr>
              <w:spacing w:after="0" w:line="100" w:lineRule="atLeast"/>
              <w:ind w:left="58" w:right="140"/>
              <w:jc w:val="center"/>
            </w:pPr>
            <w:r>
              <w:rPr>
                <w:i/>
              </w:rPr>
              <w:t>0</w:t>
            </w:r>
          </w:p>
        </w:tc>
      </w:tr>
      <w:tr w:rsidR="00000000">
        <w:trPr>
          <w:trHeight w:val="721"/>
          <w:jc w:val="center"/>
        </w:trPr>
        <w:tc>
          <w:tcPr>
            <w:tcW w:w="1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left="169" w:right="264"/>
              <w:jc w:val="center"/>
            </w:pPr>
            <w:r>
              <w:rPr>
                <w:sz w:val="28"/>
                <w:szCs w:val="28"/>
              </w:rPr>
              <w:t xml:space="preserve">□  </w:t>
            </w:r>
            <w:r>
              <w:t xml:space="preserve"> Variante A</w:t>
            </w:r>
          </w:p>
        </w:tc>
        <w:tc>
          <w:tcPr>
            <w:tcW w:w="4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right="81"/>
              <w:jc w:val="center"/>
            </w:pPr>
            <w:r>
              <w:t>€ 750.000,00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left="58" w:right="140"/>
              <w:jc w:val="center"/>
            </w:pPr>
            <w:r>
              <w:t>2</w:t>
            </w:r>
          </w:p>
        </w:tc>
      </w:tr>
      <w:tr w:rsidR="00000000">
        <w:trPr>
          <w:trHeight w:val="721"/>
          <w:jc w:val="center"/>
        </w:trPr>
        <w:tc>
          <w:tcPr>
            <w:tcW w:w="1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left="169" w:right="264"/>
              <w:jc w:val="center"/>
            </w:pPr>
            <w:r>
              <w:rPr>
                <w:sz w:val="28"/>
                <w:szCs w:val="28"/>
              </w:rPr>
              <w:t xml:space="preserve">□  </w:t>
            </w:r>
            <w:r>
              <w:t xml:space="preserve"> Variante B</w:t>
            </w:r>
          </w:p>
        </w:tc>
        <w:tc>
          <w:tcPr>
            <w:tcW w:w="4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right="81"/>
              <w:jc w:val="center"/>
            </w:pPr>
            <w:r>
              <w:t>€ 1.000.000,00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left="58" w:right="140"/>
              <w:jc w:val="center"/>
            </w:pPr>
            <w:r>
              <w:t>5</w:t>
            </w:r>
          </w:p>
        </w:tc>
      </w:tr>
    </w:tbl>
    <w:p w:rsidR="00000000" w:rsidRDefault="005D033C">
      <w:pPr>
        <w:spacing w:after="0" w:line="100" w:lineRule="atLeast"/>
      </w:pPr>
    </w:p>
    <w:p w:rsidR="00000000" w:rsidRDefault="005D033C">
      <w:pPr>
        <w:spacing w:after="0" w:line="100" w:lineRule="atLeast"/>
      </w:pPr>
    </w:p>
    <w:tbl>
      <w:tblPr>
        <w:tblW w:w="0" w:type="auto"/>
        <w:jc w:val="center"/>
        <w:tblLayout w:type="fixed"/>
        <w:tblLook w:val="0000" w:firstRow="0" w:lastRow="0" w:firstColumn="0" w:lastColumn="0" w:noHBand="0" w:noVBand="0"/>
      </w:tblPr>
      <w:tblGrid>
        <w:gridCol w:w="1718"/>
        <w:gridCol w:w="5086"/>
        <w:gridCol w:w="1276"/>
      </w:tblGrid>
      <w:tr w:rsidR="00000000">
        <w:trPr>
          <w:trHeight w:val="285"/>
          <w:jc w:val="center"/>
        </w:trPr>
        <w:tc>
          <w:tcPr>
            <w:tcW w:w="808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left="169" w:right="-20"/>
            </w:pPr>
            <w:r>
              <w:rPr>
                <w:b/>
              </w:rPr>
              <w:t>Variante n. 9</w:t>
            </w:r>
          </w:p>
        </w:tc>
      </w:tr>
      <w:tr w:rsidR="00000000">
        <w:trPr>
          <w:trHeight w:val="1077"/>
          <w:jc w:val="center"/>
        </w:trPr>
        <w:tc>
          <w:tcPr>
            <w:tcW w:w="1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left="169" w:right="264"/>
              <w:jc w:val="center"/>
              <w:rPr>
                <w:b/>
              </w:rPr>
            </w:pPr>
            <w:r>
              <w:rPr>
                <w:b/>
              </w:rPr>
              <w:t>Opzioni</w:t>
            </w:r>
          </w:p>
        </w:tc>
        <w:tc>
          <w:tcPr>
            <w:tcW w:w="50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left="161" w:right="226"/>
              <w:jc w:val="both"/>
              <w:rPr>
                <w:b/>
              </w:rPr>
            </w:pPr>
            <w:r>
              <w:rPr>
                <w:b/>
              </w:rPr>
              <w:t xml:space="preserve">Limiti risarcimento danni da inquinamento accidentale (articoli 3.15 del capitolato e </w:t>
            </w:r>
            <w:r>
              <w:rPr>
                <w:b/>
              </w:rPr>
              <w:t>tabella scoperti, franchigie, limiti di risarcimento)</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left="58" w:right="140"/>
              <w:jc w:val="center"/>
            </w:pPr>
            <w:r>
              <w:rPr>
                <w:b/>
              </w:rPr>
              <w:t>Punteggio</w:t>
            </w:r>
          </w:p>
        </w:tc>
      </w:tr>
      <w:tr w:rsidR="00000000">
        <w:trPr>
          <w:trHeight w:val="721"/>
          <w:jc w:val="center"/>
        </w:trPr>
        <w:tc>
          <w:tcPr>
            <w:tcW w:w="1718" w:type="dxa"/>
            <w:tcBorders>
              <w:top w:val="single" w:sz="4" w:space="0" w:color="000000"/>
              <w:left w:val="single" w:sz="4" w:space="0" w:color="000000"/>
              <w:bottom w:val="single" w:sz="4" w:space="0" w:color="000000"/>
              <w:right w:val="single" w:sz="4" w:space="0" w:color="000000"/>
            </w:tcBorders>
            <w:shd w:val="clear" w:color="auto" w:fill="DCDCDC"/>
            <w:vAlign w:val="center"/>
          </w:tcPr>
          <w:p w:rsidR="00000000" w:rsidRDefault="005D033C">
            <w:pPr>
              <w:spacing w:after="0" w:line="100" w:lineRule="atLeast"/>
              <w:ind w:left="169" w:right="264"/>
              <w:jc w:val="center"/>
              <w:rPr>
                <w:i/>
              </w:rPr>
            </w:pPr>
            <w:r>
              <w:rPr>
                <w:i/>
              </w:rPr>
              <w:t>Base di gara</w:t>
            </w:r>
          </w:p>
        </w:tc>
        <w:tc>
          <w:tcPr>
            <w:tcW w:w="5086" w:type="dxa"/>
            <w:tcBorders>
              <w:top w:val="single" w:sz="4" w:space="0" w:color="000000"/>
              <w:left w:val="single" w:sz="4" w:space="0" w:color="000000"/>
              <w:bottom w:val="single" w:sz="4" w:space="0" w:color="000000"/>
              <w:right w:val="single" w:sz="4" w:space="0" w:color="000000"/>
            </w:tcBorders>
            <w:shd w:val="clear" w:color="auto" w:fill="DCDCDC"/>
            <w:vAlign w:val="center"/>
          </w:tcPr>
          <w:p w:rsidR="00000000" w:rsidRDefault="005D033C">
            <w:pPr>
              <w:spacing w:after="0" w:line="100" w:lineRule="atLeast"/>
              <w:ind w:right="81"/>
              <w:jc w:val="center"/>
              <w:rPr>
                <w:i/>
              </w:rPr>
            </w:pPr>
            <w:r>
              <w:rPr>
                <w:i/>
              </w:rPr>
              <w:t xml:space="preserve">€ </w:t>
            </w:r>
            <w:r>
              <w:rPr>
                <w:i/>
              </w:rPr>
              <w:t>500.000,00</w:t>
            </w:r>
          </w:p>
        </w:tc>
        <w:tc>
          <w:tcPr>
            <w:tcW w:w="1276" w:type="dxa"/>
            <w:tcBorders>
              <w:top w:val="single" w:sz="4" w:space="0" w:color="000000"/>
              <w:left w:val="single" w:sz="4" w:space="0" w:color="000000"/>
              <w:bottom w:val="single" w:sz="4" w:space="0" w:color="000000"/>
              <w:right w:val="single" w:sz="4" w:space="0" w:color="000000"/>
            </w:tcBorders>
            <w:shd w:val="clear" w:color="auto" w:fill="DCDCDC"/>
            <w:vAlign w:val="center"/>
          </w:tcPr>
          <w:p w:rsidR="00000000" w:rsidRDefault="005D033C">
            <w:pPr>
              <w:spacing w:after="0" w:line="100" w:lineRule="atLeast"/>
              <w:ind w:left="58" w:right="140"/>
              <w:jc w:val="center"/>
            </w:pPr>
            <w:r>
              <w:rPr>
                <w:i/>
              </w:rPr>
              <w:t>0</w:t>
            </w:r>
          </w:p>
        </w:tc>
      </w:tr>
      <w:tr w:rsidR="00000000">
        <w:trPr>
          <w:trHeight w:val="721"/>
          <w:jc w:val="center"/>
        </w:trPr>
        <w:tc>
          <w:tcPr>
            <w:tcW w:w="1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left="169" w:right="264"/>
              <w:jc w:val="center"/>
            </w:pPr>
            <w:r>
              <w:rPr>
                <w:sz w:val="28"/>
                <w:szCs w:val="28"/>
              </w:rPr>
              <w:t xml:space="preserve">□  </w:t>
            </w:r>
            <w:r>
              <w:t xml:space="preserve"> Variante A</w:t>
            </w:r>
          </w:p>
        </w:tc>
        <w:tc>
          <w:tcPr>
            <w:tcW w:w="50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right="81"/>
              <w:jc w:val="center"/>
            </w:pPr>
            <w:r>
              <w:t>€ 750.000,00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left="58" w:right="140"/>
              <w:jc w:val="center"/>
            </w:pPr>
            <w:r>
              <w:t>2</w:t>
            </w:r>
          </w:p>
        </w:tc>
      </w:tr>
      <w:tr w:rsidR="00000000">
        <w:trPr>
          <w:trHeight w:val="721"/>
          <w:jc w:val="center"/>
        </w:trPr>
        <w:tc>
          <w:tcPr>
            <w:tcW w:w="1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left="169" w:right="264"/>
              <w:jc w:val="center"/>
            </w:pPr>
            <w:r>
              <w:rPr>
                <w:sz w:val="28"/>
                <w:szCs w:val="28"/>
              </w:rPr>
              <w:t xml:space="preserve">□  </w:t>
            </w:r>
            <w:r>
              <w:t xml:space="preserve"> Variante B</w:t>
            </w:r>
          </w:p>
        </w:tc>
        <w:tc>
          <w:tcPr>
            <w:tcW w:w="50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right="81"/>
              <w:jc w:val="center"/>
            </w:pPr>
            <w:r>
              <w:t>€ 1.000.000,00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spacing w:after="0" w:line="100" w:lineRule="atLeast"/>
              <w:ind w:left="58" w:right="140"/>
              <w:jc w:val="center"/>
            </w:pPr>
            <w:r>
              <w:t>5</w:t>
            </w:r>
          </w:p>
        </w:tc>
      </w:tr>
    </w:tbl>
    <w:p w:rsidR="00000000" w:rsidRDefault="005D033C">
      <w:pPr>
        <w:spacing w:after="0" w:line="100" w:lineRule="atLeast"/>
      </w:pPr>
    </w:p>
    <w:p w:rsidR="00000000" w:rsidRDefault="005D033C">
      <w:pPr>
        <w:rPr>
          <w:rFonts w:ascii="Arial" w:eastAsia="Arial" w:hAnsi="Arial" w:cs="Arial"/>
        </w:rPr>
      </w:pPr>
    </w:p>
    <w:tbl>
      <w:tblPr>
        <w:tblW w:w="0" w:type="auto"/>
        <w:jc w:val="center"/>
        <w:tblLayout w:type="fixed"/>
        <w:tblLook w:val="0000" w:firstRow="0" w:lastRow="0" w:firstColumn="0" w:lastColumn="0" w:noHBand="0" w:noVBand="0"/>
      </w:tblPr>
      <w:tblGrid>
        <w:gridCol w:w="1647"/>
        <w:gridCol w:w="6053"/>
        <w:gridCol w:w="1089"/>
      </w:tblGrid>
      <w:tr w:rsidR="00000000">
        <w:trPr>
          <w:trHeight w:val="284"/>
          <w:jc w:val="center"/>
        </w:trPr>
        <w:tc>
          <w:tcPr>
            <w:tcW w:w="8789" w:type="dxa"/>
            <w:gridSpan w:val="3"/>
            <w:tcBorders>
              <w:top w:val="single" w:sz="4" w:space="0" w:color="000000"/>
              <w:left w:val="single" w:sz="4" w:space="0" w:color="000000"/>
              <w:bottom w:val="single" w:sz="4" w:space="0" w:color="000000"/>
              <w:right w:val="single" w:sz="4" w:space="0" w:color="000000"/>
            </w:tcBorders>
            <w:shd w:val="clear" w:color="auto" w:fill="auto"/>
          </w:tcPr>
          <w:p w:rsidR="00000000" w:rsidRDefault="005D033C">
            <w:pPr>
              <w:ind w:left="57" w:right="57"/>
            </w:pPr>
            <w:r>
              <w:rPr>
                <w:b/>
              </w:rPr>
              <w:t>Variante n. 10</w:t>
            </w:r>
          </w:p>
        </w:tc>
      </w:tr>
      <w:tr w:rsidR="00000000">
        <w:trPr>
          <w:jc w:val="center"/>
        </w:trPr>
        <w:tc>
          <w:tcPr>
            <w:tcW w:w="16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ind w:left="57" w:right="57"/>
              <w:rPr>
                <w:b/>
              </w:rPr>
            </w:pPr>
            <w:r>
              <w:rPr>
                <w:b/>
              </w:rPr>
              <w:lastRenderedPageBreak/>
              <w:t>Opzioni</w:t>
            </w:r>
          </w:p>
        </w:tc>
        <w:tc>
          <w:tcPr>
            <w:tcW w:w="60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jc w:val="both"/>
              <w:rPr>
                <w:b/>
              </w:rPr>
            </w:pPr>
            <w:r>
              <w:rPr>
                <w:b/>
              </w:rPr>
              <w:t xml:space="preserve">Art. 1.3 – Determinazione e regolazione del premio </w:t>
            </w:r>
          </w:p>
        </w:tc>
        <w:tc>
          <w:tcPr>
            <w:tcW w:w="10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ind w:left="57" w:right="57"/>
            </w:pPr>
            <w:r>
              <w:rPr>
                <w:b/>
              </w:rPr>
              <w:t>Punteggio</w:t>
            </w:r>
          </w:p>
        </w:tc>
      </w:tr>
      <w:tr w:rsidR="00000000">
        <w:trPr>
          <w:jc w:val="center"/>
        </w:trPr>
        <w:tc>
          <w:tcPr>
            <w:tcW w:w="1647" w:type="dxa"/>
            <w:tcBorders>
              <w:top w:val="single" w:sz="4" w:space="0" w:color="000000"/>
              <w:left w:val="single" w:sz="4" w:space="0" w:color="000000"/>
              <w:bottom w:val="single" w:sz="4" w:space="0" w:color="000000"/>
              <w:right w:val="single" w:sz="4" w:space="0" w:color="000000"/>
            </w:tcBorders>
            <w:shd w:val="clear" w:color="auto" w:fill="DCDCDC"/>
            <w:vAlign w:val="center"/>
          </w:tcPr>
          <w:p w:rsidR="00000000" w:rsidRDefault="005D033C">
            <w:pPr>
              <w:ind w:left="57" w:right="57"/>
              <w:rPr>
                <w:rFonts w:eastAsia="Calibri" w:cs="Calibri"/>
                <w:color w:val="000000"/>
                <w:sz w:val="16"/>
                <w:szCs w:val="16"/>
              </w:rPr>
            </w:pPr>
            <w:r>
              <w:t>Base di g</w:t>
            </w:r>
            <w:r>
              <w:t>ara</w:t>
            </w:r>
          </w:p>
        </w:tc>
        <w:tc>
          <w:tcPr>
            <w:tcW w:w="6053" w:type="dxa"/>
            <w:tcBorders>
              <w:top w:val="single" w:sz="4" w:space="0" w:color="000000"/>
              <w:left w:val="single" w:sz="4" w:space="0" w:color="000000"/>
              <w:bottom w:val="single" w:sz="4" w:space="0" w:color="000000"/>
              <w:right w:val="single" w:sz="4" w:space="0" w:color="000000"/>
            </w:tcBorders>
            <w:shd w:val="clear" w:color="auto" w:fill="DCDCDC"/>
            <w:vAlign w:val="center"/>
          </w:tcPr>
          <w:p w:rsidR="00000000" w:rsidRDefault="005D033C">
            <w:pPr>
              <w:spacing w:after="0" w:line="100" w:lineRule="atLeast"/>
              <w:jc w:val="both"/>
              <w:rPr>
                <w:rFonts w:eastAsia="Calibri" w:cs="Calibri"/>
                <w:color w:val="000000"/>
                <w:sz w:val="16"/>
                <w:szCs w:val="16"/>
              </w:rPr>
            </w:pPr>
            <w:r>
              <w:rPr>
                <w:rFonts w:eastAsia="Calibri" w:cs="Calibri"/>
                <w:color w:val="000000"/>
                <w:sz w:val="16"/>
                <w:szCs w:val="16"/>
              </w:rPr>
              <w:t>Il premio viene calcolato applicando il tasso (comprensivo di imposte) pattuito in polizza al preventivo delle retribuzioni lorde annue corrisposte al personale, con l’intesa che il detto tasso rimane fisso per tutta la durata del contratto, fatto salv</w:t>
            </w:r>
            <w:r>
              <w:rPr>
                <w:rFonts w:eastAsia="Calibri" w:cs="Calibri"/>
                <w:color w:val="000000"/>
                <w:sz w:val="16"/>
                <w:szCs w:val="16"/>
              </w:rPr>
              <w:t>o il suo adeguamento unicamente in relazione alla eventuale modifica delle imposte sui premi assicurativi.</w:t>
            </w:r>
          </w:p>
          <w:p w:rsidR="00000000" w:rsidRDefault="005D033C">
            <w:pPr>
              <w:spacing w:after="0" w:line="100" w:lineRule="atLeast"/>
              <w:jc w:val="both"/>
              <w:rPr>
                <w:rFonts w:eastAsia="Calibri" w:cs="Calibri"/>
                <w:b/>
                <w:color w:val="000000"/>
                <w:sz w:val="16"/>
                <w:szCs w:val="16"/>
              </w:rPr>
            </w:pPr>
            <w:r>
              <w:rPr>
                <w:rFonts w:eastAsia="Calibri" w:cs="Calibri"/>
                <w:color w:val="000000"/>
                <w:sz w:val="16"/>
                <w:szCs w:val="16"/>
              </w:rPr>
              <w:t>Detto premio viene anticipato dal Contraente in via provvisoria nell'importo risultante dal conteggio esposto nella scheda tecnica ed è soggetto a co</w:t>
            </w:r>
            <w:r>
              <w:rPr>
                <w:rFonts w:eastAsia="Calibri" w:cs="Calibri"/>
                <w:color w:val="000000"/>
                <w:sz w:val="16"/>
                <w:szCs w:val="16"/>
              </w:rPr>
              <w:t>nguaglio definitivo alla fine di ciascun periodo assicurativo annuo, secondo le variazioni intervenute durante lo stesso periodo negli elementi presi come riferimento per il conteggio del premio. A tale proposito si prevede che:</w:t>
            </w:r>
          </w:p>
          <w:p w:rsidR="00000000" w:rsidRDefault="005D033C">
            <w:pPr>
              <w:numPr>
                <w:ilvl w:val="0"/>
                <w:numId w:val="2"/>
              </w:numPr>
              <w:spacing w:after="0" w:line="100" w:lineRule="atLeast"/>
              <w:jc w:val="both"/>
              <w:rPr>
                <w:rFonts w:eastAsia="Calibri" w:cs="Calibri"/>
                <w:color w:val="000000"/>
                <w:sz w:val="16"/>
                <w:szCs w:val="16"/>
              </w:rPr>
            </w:pPr>
            <w:r>
              <w:rPr>
                <w:rFonts w:eastAsia="Calibri" w:cs="Calibri"/>
                <w:b/>
                <w:color w:val="000000"/>
                <w:sz w:val="16"/>
                <w:szCs w:val="16"/>
              </w:rPr>
              <w:t>Comunicazione dei dati e pa</w:t>
            </w:r>
            <w:r>
              <w:rPr>
                <w:rFonts w:eastAsia="Calibri" w:cs="Calibri"/>
                <w:b/>
                <w:color w:val="000000"/>
                <w:sz w:val="16"/>
                <w:szCs w:val="16"/>
              </w:rPr>
              <w:t>gamento della differenza di premio.</w:t>
            </w:r>
          </w:p>
          <w:p w:rsidR="00000000" w:rsidRDefault="005D033C">
            <w:pPr>
              <w:spacing w:after="0" w:line="100" w:lineRule="atLeast"/>
              <w:jc w:val="both"/>
              <w:rPr>
                <w:rFonts w:eastAsia="Calibri" w:cs="Calibri"/>
                <w:color w:val="000000"/>
                <w:sz w:val="16"/>
                <w:szCs w:val="16"/>
              </w:rPr>
            </w:pPr>
            <w:r>
              <w:rPr>
                <w:rFonts w:eastAsia="Calibri" w:cs="Calibri"/>
                <w:color w:val="000000"/>
                <w:sz w:val="16"/>
                <w:szCs w:val="16"/>
              </w:rPr>
              <w:t>Entro 120 giorni dalla fine di ogni periodo assicurativo annuo, il Contraente è tenuto a comunicare alla Società il consuntivo delle retribuzioni lorde corrisposte al personale nel medesimo periodo affinché la Società st</w:t>
            </w:r>
            <w:r>
              <w:rPr>
                <w:rFonts w:eastAsia="Calibri" w:cs="Calibri"/>
                <w:color w:val="000000"/>
                <w:sz w:val="16"/>
                <w:szCs w:val="16"/>
              </w:rPr>
              <w:t>essa possa procedere alla regolazione del premio definitivo.</w:t>
            </w:r>
          </w:p>
          <w:p w:rsidR="00000000" w:rsidRDefault="005D033C">
            <w:pPr>
              <w:spacing w:after="0" w:line="100" w:lineRule="atLeast"/>
              <w:jc w:val="both"/>
              <w:rPr>
                <w:rFonts w:eastAsia="Calibri" w:cs="Calibri"/>
                <w:b/>
                <w:color w:val="000000"/>
                <w:sz w:val="16"/>
                <w:szCs w:val="16"/>
              </w:rPr>
            </w:pPr>
            <w:r>
              <w:rPr>
                <w:rFonts w:eastAsia="Calibri" w:cs="Calibri"/>
                <w:color w:val="000000"/>
                <w:sz w:val="16"/>
                <w:szCs w:val="16"/>
              </w:rPr>
              <w:t>L’eventuale differenza attiva o passiva di premio risultante dalla regolazione deve essere pagata dalla parte debitrice entro i 60 giorni successivi a quello di ricevimento, da parte del Contraen</w:t>
            </w:r>
            <w:r>
              <w:rPr>
                <w:rFonts w:eastAsia="Calibri" w:cs="Calibri"/>
                <w:color w:val="000000"/>
                <w:sz w:val="16"/>
                <w:szCs w:val="16"/>
              </w:rPr>
              <w:t>te, della relativa appendice emessa dalla Società, inteso che l’eventuale differenza passiva verrà rimborsata al Contraente al netto delle imposte.</w:t>
            </w:r>
          </w:p>
          <w:p w:rsidR="00000000" w:rsidRDefault="005D033C">
            <w:pPr>
              <w:numPr>
                <w:ilvl w:val="0"/>
                <w:numId w:val="3"/>
              </w:numPr>
              <w:spacing w:after="0" w:line="100" w:lineRule="atLeast"/>
              <w:ind w:left="360"/>
              <w:jc w:val="both"/>
              <w:rPr>
                <w:rFonts w:eastAsia="Calibri" w:cs="Calibri"/>
                <w:color w:val="000000"/>
                <w:sz w:val="16"/>
                <w:szCs w:val="16"/>
              </w:rPr>
            </w:pPr>
            <w:r>
              <w:rPr>
                <w:rFonts w:eastAsia="Calibri" w:cs="Calibri"/>
                <w:b/>
                <w:color w:val="000000"/>
                <w:sz w:val="16"/>
                <w:szCs w:val="16"/>
              </w:rPr>
              <w:t>Inosservanza dell'obbligo di comunicazione dei dati.</w:t>
            </w:r>
          </w:p>
          <w:p w:rsidR="00000000" w:rsidRDefault="005D033C">
            <w:pPr>
              <w:spacing w:after="0" w:line="100" w:lineRule="atLeast"/>
              <w:jc w:val="both"/>
              <w:rPr>
                <w:rFonts w:eastAsia="Calibri" w:cs="Calibri"/>
                <w:color w:val="000000"/>
                <w:sz w:val="16"/>
                <w:szCs w:val="16"/>
              </w:rPr>
            </w:pPr>
            <w:r>
              <w:rPr>
                <w:rFonts w:eastAsia="Calibri" w:cs="Calibri"/>
                <w:color w:val="000000"/>
                <w:sz w:val="16"/>
                <w:szCs w:val="16"/>
              </w:rPr>
              <w:t>Se il Contraente non effettua nei termini prescritti la</w:t>
            </w:r>
            <w:r>
              <w:rPr>
                <w:rFonts w:eastAsia="Calibri" w:cs="Calibri"/>
                <w:color w:val="000000"/>
                <w:sz w:val="16"/>
                <w:szCs w:val="16"/>
              </w:rPr>
              <w:t xml:space="preserve"> comunicazione dei dati anzidetti o il pagamento della differenza attiva eventualmente dovuta, la Società dovrà fissargli un ulteriore termine non inferiore ai 30 giorni.</w:t>
            </w:r>
          </w:p>
          <w:p w:rsidR="00000000" w:rsidRDefault="005D033C">
            <w:pPr>
              <w:spacing w:after="0" w:line="100" w:lineRule="atLeast"/>
              <w:jc w:val="both"/>
              <w:rPr>
                <w:sz w:val="16"/>
                <w:szCs w:val="16"/>
              </w:rPr>
            </w:pPr>
            <w:r>
              <w:rPr>
                <w:rFonts w:eastAsia="Calibri" w:cs="Calibri"/>
                <w:color w:val="000000"/>
                <w:sz w:val="16"/>
                <w:szCs w:val="16"/>
              </w:rPr>
              <w:t>In caso di ritardata comunicazione dei dati di regolazione o di ritardato pagamento d</w:t>
            </w:r>
            <w:r>
              <w:rPr>
                <w:rFonts w:eastAsia="Calibri" w:cs="Calibri"/>
                <w:color w:val="000000"/>
                <w:sz w:val="16"/>
                <w:szCs w:val="16"/>
              </w:rPr>
              <w:t>el premio di conguaglio, gli eventuali sinistri potranno essere indennizzati nella stessa proporzione esistente tra il premio versato a deposito e l’intero premio dovuto (premio a deposito più conguaglio).</w:t>
            </w:r>
          </w:p>
          <w:p w:rsidR="00000000" w:rsidRDefault="005D033C">
            <w:pPr>
              <w:rPr>
                <w:sz w:val="16"/>
                <w:szCs w:val="16"/>
              </w:rPr>
            </w:pPr>
          </w:p>
          <w:p w:rsidR="00000000" w:rsidRDefault="005D033C">
            <w:pPr>
              <w:rPr>
                <w:sz w:val="16"/>
                <w:szCs w:val="16"/>
              </w:rPr>
            </w:pPr>
            <w:r>
              <w:rPr>
                <w:b/>
                <w:sz w:val="16"/>
                <w:szCs w:val="16"/>
              </w:rPr>
              <w:t>Scheda di polizza - Elementi per il conteggio del</w:t>
            </w:r>
            <w:r>
              <w:rPr>
                <w:b/>
                <w:sz w:val="16"/>
                <w:szCs w:val="16"/>
              </w:rPr>
              <w:t xml:space="preserve"> premio annuo lordo</w:t>
            </w:r>
          </w:p>
          <w:p w:rsidR="00000000" w:rsidRDefault="005D033C">
            <w:pPr>
              <w:rPr>
                <w:sz w:val="16"/>
                <w:szCs w:val="16"/>
              </w:rPr>
            </w:pPr>
            <w:r>
              <w:rPr>
                <w:sz w:val="16"/>
                <w:szCs w:val="16"/>
              </w:rPr>
              <w:t xml:space="preserve">Il premio annuo lordo dovuto per l’assicurazione è determinato in base all’elemento variabile delle Retribuzioni lorde annue (come definite in polizza). </w:t>
            </w:r>
          </w:p>
          <w:tbl>
            <w:tblPr>
              <w:tblW w:w="0" w:type="auto"/>
              <w:tblInd w:w="103" w:type="dxa"/>
              <w:tblLayout w:type="fixed"/>
              <w:tblLook w:val="0000" w:firstRow="0" w:lastRow="0" w:firstColumn="0" w:lastColumn="0" w:noHBand="0" w:noVBand="0"/>
            </w:tblPr>
            <w:tblGrid>
              <w:gridCol w:w="2060"/>
              <w:gridCol w:w="1841"/>
              <w:gridCol w:w="1702"/>
            </w:tblGrid>
            <w:tr w:rsidR="00000000">
              <w:tc>
                <w:tcPr>
                  <w:tcW w:w="206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5D033C">
                  <w:pPr>
                    <w:jc w:val="center"/>
                    <w:rPr>
                      <w:sz w:val="16"/>
                      <w:szCs w:val="16"/>
                    </w:rPr>
                  </w:pPr>
                  <w:r>
                    <w:rPr>
                      <w:sz w:val="16"/>
                      <w:szCs w:val="16"/>
                    </w:rPr>
                    <w:t>Retribuzioni lorde annue (euro)</w:t>
                  </w:r>
                </w:p>
              </w:tc>
              <w:tc>
                <w:tcPr>
                  <w:tcW w:w="1841"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5D033C">
                  <w:pPr>
                    <w:jc w:val="center"/>
                    <w:rPr>
                      <w:sz w:val="16"/>
                      <w:szCs w:val="16"/>
                    </w:rPr>
                  </w:pPr>
                  <w:r>
                    <w:rPr>
                      <w:sz w:val="16"/>
                      <w:szCs w:val="16"/>
                    </w:rPr>
                    <w:t>Tasso lordo pro mille</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5D033C">
                  <w:pPr>
                    <w:jc w:val="center"/>
                  </w:pPr>
                  <w:r>
                    <w:rPr>
                      <w:sz w:val="16"/>
                      <w:szCs w:val="16"/>
                    </w:rPr>
                    <w:t>Premio lordo (euro)</w:t>
                  </w:r>
                </w:p>
              </w:tc>
            </w:tr>
            <w:tr w:rsidR="00000000">
              <w:tc>
                <w:tcPr>
                  <w:tcW w:w="206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5D033C">
                  <w:pPr>
                    <w:jc w:val="center"/>
                    <w:rPr>
                      <w:sz w:val="16"/>
                      <w:szCs w:val="16"/>
                    </w:rPr>
                  </w:pPr>
                  <w:r>
                    <w:rPr>
                      <w:sz w:val="16"/>
                      <w:szCs w:val="16"/>
                    </w:rPr>
                    <w:t xml:space="preserve">€ </w:t>
                  </w:r>
                  <w:r>
                    <w:rPr>
                      <w:sz w:val="16"/>
                      <w:szCs w:val="16"/>
                    </w:rPr>
                    <w:t>46.00</w:t>
                  </w:r>
                  <w:r>
                    <w:rPr>
                      <w:sz w:val="16"/>
                      <w:szCs w:val="16"/>
                    </w:rPr>
                    <w:t>0.000,00</w:t>
                  </w:r>
                </w:p>
              </w:tc>
              <w:tc>
                <w:tcPr>
                  <w:tcW w:w="1841"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5D033C">
                  <w:pPr>
                    <w:rPr>
                      <w:sz w:val="16"/>
                      <w:szCs w:val="16"/>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5D033C">
                  <w:pPr>
                    <w:rPr>
                      <w:sz w:val="16"/>
                      <w:szCs w:val="16"/>
                    </w:rPr>
                  </w:pPr>
                </w:p>
              </w:tc>
            </w:tr>
          </w:tbl>
          <w:p w:rsidR="00000000" w:rsidRDefault="005D033C">
            <w:pPr>
              <w:jc w:val="both"/>
              <w:rPr>
                <w:sz w:val="16"/>
                <w:szCs w:val="16"/>
              </w:rPr>
            </w:pPr>
          </w:p>
        </w:tc>
        <w:tc>
          <w:tcPr>
            <w:tcW w:w="1089" w:type="dxa"/>
            <w:tcBorders>
              <w:top w:val="single" w:sz="4" w:space="0" w:color="000000"/>
              <w:left w:val="single" w:sz="4" w:space="0" w:color="000000"/>
              <w:bottom w:val="single" w:sz="4" w:space="0" w:color="000000"/>
              <w:right w:val="single" w:sz="4" w:space="0" w:color="000000"/>
            </w:tcBorders>
            <w:shd w:val="clear" w:color="auto" w:fill="DCDCDC"/>
            <w:vAlign w:val="center"/>
          </w:tcPr>
          <w:p w:rsidR="00000000" w:rsidRDefault="005D033C">
            <w:pPr>
              <w:ind w:left="57" w:right="57"/>
              <w:jc w:val="center"/>
            </w:pPr>
            <w:r>
              <w:t>0</w:t>
            </w:r>
          </w:p>
        </w:tc>
      </w:tr>
      <w:tr w:rsidR="00000000">
        <w:trPr>
          <w:jc w:val="center"/>
        </w:trPr>
        <w:tc>
          <w:tcPr>
            <w:tcW w:w="16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ind w:left="57" w:right="57"/>
              <w:rPr>
                <w:sz w:val="16"/>
                <w:szCs w:val="16"/>
              </w:rPr>
            </w:pPr>
            <w:bookmarkStart w:id="5" w:name="_heading=h.tyjcwt"/>
            <w:bookmarkEnd w:id="5"/>
            <w:r>
              <w:rPr>
                <w:rFonts w:ascii="Arial" w:eastAsia="Arial" w:hAnsi="Arial" w:cs="Arial"/>
                <w:sz w:val="28"/>
                <w:szCs w:val="28"/>
              </w:rPr>
              <w:t>□</w:t>
            </w:r>
            <w:r>
              <w:rPr>
                <w:sz w:val="28"/>
                <w:szCs w:val="28"/>
              </w:rPr>
              <w:t xml:space="preserve"> </w:t>
            </w:r>
            <w:r>
              <w:t>Variante A</w:t>
            </w:r>
          </w:p>
        </w:tc>
        <w:tc>
          <w:tcPr>
            <w:tcW w:w="60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rPr>
                <w:sz w:val="16"/>
                <w:szCs w:val="16"/>
                <w:u w:val="single"/>
              </w:rPr>
            </w:pPr>
            <w:r>
              <w:rPr>
                <w:sz w:val="16"/>
                <w:szCs w:val="16"/>
              </w:rPr>
              <w:t>Il premio offerto dalla Società è da intendersi quale premio forfettario.</w:t>
            </w:r>
          </w:p>
          <w:p w:rsidR="00000000" w:rsidRDefault="005D033C">
            <w:pPr>
              <w:rPr>
                <w:b/>
                <w:sz w:val="16"/>
                <w:szCs w:val="16"/>
              </w:rPr>
            </w:pPr>
            <w:r>
              <w:rPr>
                <w:sz w:val="16"/>
                <w:szCs w:val="16"/>
                <w:u w:val="single"/>
              </w:rPr>
              <w:t>Non è pertanto prevista alcuna regolazione del premio</w:t>
            </w:r>
            <w:r>
              <w:rPr>
                <w:sz w:val="16"/>
                <w:szCs w:val="16"/>
              </w:rPr>
              <w:t xml:space="preserve"> alla fine di ciascun periodo assicurativo annuo o della minor durata del contratto.</w:t>
            </w:r>
          </w:p>
          <w:p w:rsidR="00000000" w:rsidRDefault="005D033C">
            <w:pPr>
              <w:rPr>
                <w:sz w:val="16"/>
                <w:szCs w:val="16"/>
              </w:rPr>
            </w:pPr>
            <w:r>
              <w:rPr>
                <w:b/>
                <w:sz w:val="16"/>
                <w:szCs w:val="16"/>
              </w:rPr>
              <w:t>Scheda di Poliz</w:t>
            </w:r>
            <w:r>
              <w:rPr>
                <w:b/>
                <w:sz w:val="16"/>
                <w:szCs w:val="16"/>
              </w:rPr>
              <w:t>za - Elementi per il conteggio del premio annuo lordo</w:t>
            </w:r>
          </w:p>
          <w:p w:rsidR="00000000" w:rsidRDefault="005D033C">
            <w:r>
              <w:rPr>
                <w:sz w:val="16"/>
                <w:szCs w:val="16"/>
              </w:rPr>
              <w:t xml:space="preserve">Il premio annuo lordo dovuto per l’assicurazione è definito convenzionalmente in misura fissa e </w:t>
            </w:r>
            <w:r>
              <w:rPr>
                <w:sz w:val="16"/>
                <w:szCs w:val="16"/>
                <w:u w:val="single"/>
              </w:rPr>
              <w:t>non è pertanto soggetto a regolazione</w:t>
            </w:r>
            <w:r>
              <w:rPr>
                <w:sz w:val="16"/>
                <w:szCs w:val="16"/>
              </w:rPr>
              <w:t>.</w:t>
            </w:r>
          </w:p>
        </w:tc>
        <w:tc>
          <w:tcPr>
            <w:tcW w:w="10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5D033C">
            <w:pPr>
              <w:ind w:left="57" w:right="57"/>
              <w:jc w:val="center"/>
            </w:pPr>
            <w:r>
              <w:t>5</w:t>
            </w:r>
          </w:p>
        </w:tc>
      </w:tr>
    </w:tbl>
    <w:p w:rsidR="00000000" w:rsidRDefault="005D033C">
      <w:pPr>
        <w:spacing w:after="0" w:line="100" w:lineRule="atLeast"/>
        <w:rPr>
          <w:rFonts w:ascii="Arial" w:eastAsia="Arial" w:hAnsi="Arial" w:cs="Arial"/>
        </w:rPr>
      </w:pPr>
    </w:p>
    <w:p w:rsidR="00000000" w:rsidRDefault="005D033C">
      <w:pPr>
        <w:spacing w:after="0" w:line="199" w:lineRule="auto"/>
        <w:rPr>
          <w:rFonts w:ascii="Arial" w:eastAsia="Arial" w:hAnsi="Arial" w:cs="Arial"/>
        </w:rPr>
      </w:pPr>
      <w:bookmarkStart w:id="6" w:name="_heading=h.3dy6vkm"/>
      <w:bookmarkEnd w:id="6"/>
    </w:p>
    <w:p w:rsidR="00000000" w:rsidRDefault="005D033C">
      <w:pPr>
        <w:spacing w:after="0" w:line="199" w:lineRule="auto"/>
        <w:rPr>
          <w:rFonts w:ascii="Arial" w:eastAsia="Arial" w:hAnsi="Arial" w:cs="Arial"/>
        </w:rPr>
      </w:pPr>
    </w:p>
    <w:p w:rsidR="00000000" w:rsidRDefault="005D033C">
      <w:pPr>
        <w:spacing w:after="0" w:line="100" w:lineRule="atLeast"/>
        <w:ind w:left="110" w:right="3304"/>
        <w:jc w:val="both"/>
        <w:rPr>
          <w:rFonts w:ascii="Arial" w:eastAsia="Arial" w:hAnsi="Arial" w:cs="Arial"/>
        </w:rPr>
      </w:pPr>
      <w:r>
        <w:rPr>
          <w:rFonts w:ascii="Arial" w:eastAsia="Arial" w:hAnsi="Arial" w:cs="Arial"/>
        </w:rPr>
        <w:t xml:space="preserve">Data ..........................................              </w:t>
      </w:r>
      <w:r>
        <w:rPr>
          <w:rFonts w:ascii="Arial" w:eastAsia="Arial" w:hAnsi="Arial" w:cs="Arial"/>
        </w:rPr>
        <w:t xml:space="preserve">                                       </w:t>
      </w:r>
      <w:r>
        <w:t xml:space="preserve"> Firma  digitale  </w:t>
      </w:r>
    </w:p>
    <w:p w:rsidR="00000000" w:rsidRDefault="005D033C">
      <w:pPr>
        <w:spacing w:before="6" w:after="0" w:line="108" w:lineRule="auto"/>
        <w:rPr>
          <w:rFonts w:ascii="Arial" w:eastAsia="Arial" w:hAnsi="Arial" w:cs="Arial"/>
        </w:rPr>
      </w:pPr>
    </w:p>
    <w:p w:rsidR="00000000" w:rsidRDefault="005D033C">
      <w:pPr>
        <w:spacing w:after="0" w:line="100" w:lineRule="atLeast"/>
        <w:ind w:left="5090" w:right="-20"/>
        <w:rPr>
          <w:rFonts w:ascii="Arial" w:eastAsia="Arial" w:hAnsi="Arial" w:cs="Arial"/>
        </w:rPr>
      </w:pPr>
      <w:r>
        <w:rPr>
          <w:rFonts w:ascii="Arial" w:eastAsia="Arial" w:hAnsi="Arial" w:cs="Arial"/>
        </w:rPr>
        <w:t>..............................................................................</w:t>
      </w:r>
    </w:p>
    <w:p w:rsidR="00000000" w:rsidRDefault="005D033C">
      <w:pPr>
        <w:spacing w:after="0" w:line="120" w:lineRule="auto"/>
        <w:rPr>
          <w:rFonts w:ascii="Arial" w:eastAsia="Arial" w:hAnsi="Arial" w:cs="Arial"/>
        </w:rPr>
      </w:pPr>
    </w:p>
    <w:p w:rsidR="00000000" w:rsidRDefault="005D033C">
      <w:pPr>
        <w:spacing w:after="0" w:line="100" w:lineRule="atLeast"/>
        <w:ind w:left="110" w:right="48"/>
        <w:jc w:val="both"/>
      </w:pPr>
      <w:r>
        <w:rPr>
          <w:rFonts w:ascii="Arial" w:eastAsia="Arial" w:hAnsi="Arial" w:cs="Arial"/>
          <w:b/>
        </w:rPr>
        <w:t>N.B. In caso di coassicurazione, di raggruppamento temporaneo o di consorzio ordinario non ancora costituiti, il pres</w:t>
      </w:r>
      <w:r>
        <w:rPr>
          <w:rFonts w:ascii="Arial" w:eastAsia="Arial" w:hAnsi="Arial" w:cs="Arial"/>
          <w:b/>
        </w:rPr>
        <w:t xml:space="preserve">ente Modulo dovrà essere compilato e sottoscritto dai rappresentanti legali di tutte le imprese partecipanti in caso contrario non verrà attribuito nessun punteggio all’offerta tecnica </w:t>
      </w:r>
      <w:r>
        <w:rPr>
          <w:rFonts w:ascii="Arial" w:eastAsia="Arial" w:hAnsi="Arial" w:cs="Arial"/>
          <w:u w:val="single"/>
        </w:rPr>
        <w:t xml:space="preserve">                                                                   </w:t>
      </w:r>
    </w:p>
    <w:sectPr w:rsidR="00000000">
      <w:headerReference w:type="default" r:id="rId8"/>
      <w:footerReference w:type="even" r:id="rId9"/>
      <w:footerReference w:type="default" r:id="rId10"/>
      <w:headerReference w:type="first" r:id="rId11"/>
      <w:footerReference w:type="first" r:id="rId12"/>
      <w:pgSz w:w="11906" w:h="16838"/>
      <w:pgMar w:top="1134" w:right="743" w:bottom="709" w:left="743" w:header="748" w:footer="556" w:gutter="0"/>
      <w:pgNumType w:start="1"/>
      <w:cols w:space="720"/>
      <w:docGrid w:linePitch="100" w:charSpace="409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5D033C">
      <w:pPr>
        <w:spacing w:after="0" w:line="240" w:lineRule="auto"/>
      </w:pPr>
      <w:r>
        <w:separator/>
      </w:r>
    </w:p>
  </w:endnote>
  <w:endnote w:type="continuationSeparator" w:id="0">
    <w:p w:rsidR="00000000" w:rsidRDefault="005D03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00002A87" w:usb1="80000000" w:usb2="00000008"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5D033C"/>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5D033C">
    <w:pPr>
      <w:jc w:val="right"/>
    </w:pPr>
    <w:r>
      <w:fldChar w:fldCharType="begin"/>
    </w:r>
    <w:r>
      <w:instrText xml:space="preserve"> PAGE </w:instrText>
    </w:r>
    <w:r>
      <w:fldChar w:fldCharType="separate"/>
    </w:r>
    <w:r>
      <w:rPr>
        <w:noProof/>
      </w:rPr>
      <w:t>2</w:t>
    </w:r>
    <w: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5D033C"/>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5D033C">
      <w:pPr>
        <w:spacing w:after="0" w:line="240" w:lineRule="auto"/>
      </w:pPr>
      <w:r>
        <w:separator/>
      </w:r>
    </w:p>
  </w:footnote>
  <w:footnote w:type="continuationSeparator" w:id="0">
    <w:p w:rsidR="00000000" w:rsidRDefault="005D033C">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5D033C">
    <w:pPr>
      <w:tabs>
        <w:tab w:val="left" w:pos="2004"/>
      </w:tabs>
      <w:spacing w:after="0" w:line="100" w:lineRule="atLeast"/>
      <w:jc w:val="center"/>
    </w:pPr>
    <w:r>
      <w:t>All</w:t>
    </w:r>
    <w:r>
      <w:t>egato 2B –</w:t>
    </w:r>
    <w:r>
      <w:rPr>
        <w:rFonts w:ascii="Arial" w:eastAsia="Arial" w:hAnsi="Arial" w:cs="Arial"/>
      </w:rPr>
      <w:t xml:space="preserve"> Modello Offerta - Tecnica</w:t>
    </w:r>
    <w:r>
      <w:rPr>
        <w:rFonts w:ascii="Arial" w:eastAsia="Arial" w:hAnsi="Arial" w:cs="Arial"/>
      </w:rPr>
      <w:tab/>
      <w:t>Lotto 2 RCT/O</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5D033C"/>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Num1"/>
    <w:lvl w:ilvl="0">
      <w:start w:val="1"/>
      <w:numFmt w:val="lowerLetter"/>
      <w:lvlText w:val="%1."/>
      <w:lvlJc w:val="left"/>
      <w:pPr>
        <w:tabs>
          <w:tab w:val="num" w:pos="0"/>
        </w:tabs>
        <w:ind w:left="0" w:firstLine="0"/>
      </w:p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2">
    <w:nsid w:val="00000003"/>
    <w:multiLevelType w:val="multilevel"/>
    <w:tmpl w:val="00000003"/>
    <w:name w:val="WWNum2"/>
    <w:lvl w:ilvl="0">
      <w:start w:val="2"/>
      <w:numFmt w:val="lowerLetter"/>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33C"/>
    <w:rsid w:val="005D033C"/>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uppressAutoHyphens/>
      <w:spacing w:after="200" w:line="276" w:lineRule="auto"/>
    </w:pPr>
  </w:style>
  <w:style w:type="paragraph" w:styleId="Titolo1">
    <w:name w:val="heading 1"/>
    <w:basedOn w:val="Normale"/>
    <w:next w:val="Normale"/>
    <w:qFormat/>
    <w:pPr>
      <w:keepNext/>
      <w:spacing w:after="0" w:line="100" w:lineRule="atLeast"/>
      <w:ind w:right="-1"/>
      <w:jc w:val="center"/>
      <w:outlineLvl w:val="0"/>
    </w:pPr>
  </w:style>
  <w:style w:type="paragraph" w:styleId="Titolo2">
    <w:name w:val="heading 2"/>
    <w:basedOn w:val="normal"/>
    <w:next w:val="Normale"/>
    <w:qFormat/>
    <w:pPr>
      <w:keepNext/>
      <w:keepLines/>
      <w:spacing w:before="360" w:after="80" w:line="100" w:lineRule="atLeast"/>
      <w:outlineLvl w:val="1"/>
    </w:pPr>
  </w:style>
  <w:style w:type="paragraph" w:styleId="Titolo3">
    <w:name w:val="heading 3"/>
    <w:basedOn w:val="normal"/>
    <w:next w:val="Normale"/>
    <w:qFormat/>
    <w:pPr>
      <w:keepNext/>
      <w:keepLines/>
      <w:spacing w:before="280" w:after="80" w:line="100" w:lineRule="atLeast"/>
      <w:outlineLvl w:val="2"/>
    </w:pPr>
  </w:style>
  <w:style w:type="paragraph" w:styleId="Titolo4">
    <w:name w:val="heading 4"/>
    <w:basedOn w:val="normal"/>
    <w:next w:val="Normale"/>
    <w:qFormat/>
    <w:pPr>
      <w:keepNext/>
      <w:keepLines/>
      <w:spacing w:before="240" w:after="40" w:line="100" w:lineRule="atLeast"/>
      <w:outlineLvl w:val="3"/>
    </w:pPr>
  </w:style>
  <w:style w:type="paragraph" w:styleId="Titolo5">
    <w:name w:val="heading 5"/>
    <w:basedOn w:val="normal"/>
    <w:next w:val="Normale"/>
    <w:qFormat/>
    <w:pPr>
      <w:keepNext/>
      <w:keepLines/>
      <w:spacing w:before="220" w:after="40" w:line="100" w:lineRule="atLeast"/>
      <w:outlineLvl w:val="4"/>
    </w:pPr>
  </w:style>
  <w:style w:type="paragraph" w:styleId="Titolo6">
    <w:name w:val="heading 6"/>
    <w:basedOn w:val="normal"/>
    <w:next w:val="Normale"/>
    <w:qFormat/>
    <w:pPr>
      <w:keepNext/>
      <w:keepLines/>
      <w:spacing w:before="200" w:after="40" w:line="100" w:lineRule="atLeast"/>
      <w:outlineLvl w:val="5"/>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DefaultParagraphFont">
    <w:name w:val="Default Paragraph Font"/>
  </w:style>
  <w:style w:type="character" w:customStyle="1" w:styleId="IntestazioneCarattere">
    <w:name w:val="Intestazione Carattere"/>
    <w:basedOn w:val="DefaultParagraphFont"/>
  </w:style>
  <w:style w:type="character" w:customStyle="1" w:styleId="PidipaginaCarattere">
    <w:name w:val="Piè di pagina Carattere"/>
    <w:basedOn w:val="DefaultParagraphFont"/>
  </w:style>
  <w:style w:type="character" w:customStyle="1" w:styleId="TestofumettoCarattere">
    <w:name w:val="Testo fumetto Carattere"/>
    <w:basedOn w:val="DefaultParagraphFont"/>
  </w:style>
  <w:style w:type="character" w:customStyle="1" w:styleId="Titolo1Carattere">
    <w:name w:val="Titolo 1 Carattere"/>
    <w:basedOn w:val="DefaultParagraphFont"/>
  </w:style>
  <w:style w:type="character" w:customStyle="1" w:styleId="TitoloCarattere">
    <w:name w:val="Titolo Carattere"/>
    <w:basedOn w:val="DefaultParagraphFont"/>
  </w:style>
  <w:style w:type="character" w:customStyle="1" w:styleId="CorpotestoCarattere">
    <w:name w:val="Corpo testo Carattere"/>
    <w:basedOn w:val="DefaultParagraphFont"/>
  </w:style>
  <w:style w:type="paragraph" w:customStyle="1" w:styleId="Intestazione1">
    <w:name w:val="Intestazione1"/>
    <w:basedOn w:val="Normale"/>
    <w:next w:val="Corpodeltesto"/>
    <w:pPr>
      <w:keepNext/>
      <w:spacing w:before="240" w:after="120"/>
    </w:pPr>
  </w:style>
  <w:style w:type="paragraph" w:styleId="Corpodeltesto">
    <w:name w:val="Body Text"/>
    <w:basedOn w:val="Normale"/>
    <w:pPr>
      <w:spacing w:after="120"/>
    </w:pPr>
  </w:style>
  <w:style w:type="paragraph" w:styleId="Elenco">
    <w:name w:val="List"/>
    <w:basedOn w:val="Corpodeltesto"/>
  </w:style>
  <w:style w:type="paragraph" w:customStyle="1" w:styleId="Didascalia1">
    <w:name w:val="Didascalia1"/>
    <w:basedOn w:val="Normale"/>
    <w:pPr>
      <w:suppressLineNumbers/>
      <w:spacing w:before="120" w:after="120"/>
    </w:pPr>
  </w:style>
  <w:style w:type="paragraph" w:customStyle="1" w:styleId="Indice">
    <w:name w:val="Indice"/>
    <w:basedOn w:val="Normale"/>
    <w:pPr>
      <w:suppressLineNumbers/>
    </w:pPr>
  </w:style>
  <w:style w:type="paragraph" w:customStyle="1" w:styleId="normal">
    <w:name w:val="normal"/>
    <w:pPr>
      <w:suppressAutoHyphens/>
    </w:pPr>
  </w:style>
  <w:style w:type="paragraph" w:styleId="Titolo">
    <w:name w:val="Title"/>
    <w:basedOn w:val="Normale"/>
    <w:next w:val="Normale"/>
    <w:qFormat/>
    <w:pPr>
      <w:spacing w:after="0" w:line="100" w:lineRule="atLeast"/>
      <w:jc w:val="center"/>
    </w:pPr>
  </w:style>
  <w:style w:type="paragraph" w:styleId="Sottotitolo">
    <w:name w:val="Subtitle"/>
    <w:basedOn w:val="normal"/>
    <w:next w:val="Normale"/>
    <w:qFormat/>
    <w:pPr>
      <w:keepNext/>
      <w:keepLines/>
      <w:spacing w:before="360" w:after="80" w:line="100" w:lineRule="atLeast"/>
    </w:pPr>
  </w:style>
  <w:style w:type="paragraph" w:styleId="Intestazione">
    <w:name w:val="header"/>
    <w:basedOn w:val="Normale"/>
    <w:pPr>
      <w:tabs>
        <w:tab w:val="center" w:pos="4819"/>
        <w:tab w:val="right" w:pos="9638"/>
      </w:tabs>
      <w:spacing w:after="0" w:line="100" w:lineRule="atLeast"/>
    </w:pPr>
  </w:style>
  <w:style w:type="paragraph" w:styleId="Pidipagina">
    <w:name w:val="footer"/>
    <w:basedOn w:val="Normale"/>
    <w:pPr>
      <w:tabs>
        <w:tab w:val="center" w:pos="4819"/>
        <w:tab w:val="right" w:pos="9638"/>
      </w:tabs>
      <w:spacing w:after="0" w:line="100" w:lineRule="atLeast"/>
    </w:pPr>
  </w:style>
  <w:style w:type="paragraph" w:customStyle="1" w:styleId="Default">
    <w:name w:val="Default"/>
    <w:pPr>
      <w:suppressAutoHyphens/>
      <w:spacing w:line="100" w:lineRule="atLeast"/>
    </w:pPr>
  </w:style>
  <w:style w:type="paragraph" w:customStyle="1" w:styleId="Testonormale1">
    <w:name w:val="Testo normale1"/>
    <w:basedOn w:val="Normale"/>
    <w:pPr>
      <w:spacing w:after="0" w:line="100" w:lineRule="atLeast"/>
      <w:jc w:val="both"/>
    </w:pPr>
  </w:style>
  <w:style w:type="paragraph" w:customStyle="1" w:styleId="BalloonText">
    <w:name w:val="Balloon Text"/>
    <w:basedOn w:val="Normale"/>
    <w:pPr>
      <w:spacing w:after="0" w:line="100" w:lineRule="atLeast"/>
    </w:pPr>
  </w:style>
  <w:style w:type="paragraph" w:customStyle="1" w:styleId="ListParagraph">
    <w:name w:val="List Paragraph"/>
    <w:basedOn w:val="Normale"/>
    <w:pPr>
      <w:ind w:left="720"/>
    </w:pPr>
  </w:style>
  <w:style w:type="paragraph" w:customStyle="1" w:styleId="NormalWeb">
    <w:name w:val="Normal (Web)"/>
    <w:basedOn w:val="Normale"/>
    <w:pPr>
      <w:spacing w:before="280" w:after="280" w:line="100" w:lineRule="atLeast"/>
    </w:pPr>
  </w:style>
  <w:style w:type="paragraph" w:customStyle="1" w:styleId="Contenutotabella">
    <w:name w:val="Contenuto tabella"/>
    <w:basedOn w:val="Normale"/>
    <w:pPr>
      <w:suppressLineNumbers/>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uppressAutoHyphens/>
      <w:spacing w:after="200" w:line="276" w:lineRule="auto"/>
    </w:pPr>
  </w:style>
  <w:style w:type="paragraph" w:styleId="Titolo1">
    <w:name w:val="heading 1"/>
    <w:basedOn w:val="Normale"/>
    <w:next w:val="Normale"/>
    <w:qFormat/>
    <w:pPr>
      <w:keepNext/>
      <w:spacing w:after="0" w:line="100" w:lineRule="atLeast"/>
      <w:ind w:right="-1"/>
      <w:jc w:val="center"/>
      <w:outlineLvl w:val="0"/>
    </w:pPr>
  </w:style>
  <w:style w:type="paragraph" w:styleId="Titolo2">
    <w:name w:val="heading 2"/>
    <w:basedOn w:val="normal"/>
    <w:next w:val="Normale"/>
    <w:qFormat/>
    <w:pPr>
      <w:keepNext/>
      <w:keepLines/>
      <w:spacing w:before="360" w:after="80" w:line="100" w:lineRule="atLeast"/>
      <w:outlineLvl w:val="1"/>
    </w:pPr>
  </w:style>
  <w:style w:type="paragraph" w:styleId="Titolo3">
    <w:name w:val="heading 3"/>
    <w:basedOn w:val="normal"/>
    <w:next w:val="Normale"/>
    <w:qFormat/>
    <w:pPr>
      <w:keepNext/>
      <w:keepLines/>
      <w:spacing w:before="280" w:after="80" w:line="100" w:lineRule="atLeast"/>
      <w:outlineLvl w:val="2"/>
    </w:pPr>
  </w:style>
  <w:style w:type="paragraph" w:styleId="Titolo4">
    <w:name w:val="heading 4"/>
    <w:basedOn w:val="normal"/>
    <w:next w:val="Normale"/>
    <w:qFormat/>
    <w:pPr>
      <w:keepNext/>
      <w:keepLines/>
      <w:spacing w:before="240" w:after="40" w:line="100" w:lineRule="atLeast"/>
      <w:outlineLvl w:val="3"/>
    </w:pPr>
  </w:style>
  <w:style w:type="paragraph" w:styleId="Titolo5">
    <w:name w:val="heading 5"/>
    <w:basedOn w:val="normal"/>
    <w:next w:val="Normale"/>
    <w:qFormat/>
    <w:pPr>
      <w:keepNext/>
      <w:keepLines/>
      <w:spacing w:before="220" w:after="40" w:line="100" w:lineRule="atLeast"/>
      <w:outlineLvl w:val="4"/>
    </w:pPr>
  </w:style>
  <w:style w:type="paragraph" w:styleId="Titolo6">
    <w:name w:val="heading 6"/>
    <w:basedOn w:val="normal"/>
    <w:next w:val="Normale"/>
    <w:qFormat/>
    <w:pPr>
      <w:keepNext/>
      <w:keepLines/>
      <w:spacing w:before="200" w:after="40" w:line="100" w:lineRule="atLeast"/>
      <w:outlineLvl w:val="5"/>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DefaultParagraphFont">
    <w:name w:val="Default Paragraph Font"/>
  </w:style>
  <w:style w:type="character" w:customStyle="1" w:styleId="IntestazioneCarattere">
    <w:name w:val="Intestazione Carattere"/>
    <w:basedOn w:val="DefaultParagraphFont"/>
  </w:style>
  <w:style w:type="character" w:customStyle="1" w:styleId="PidipaginaCarattere">
    <w:name w:val="Piè di pagina Carattere"/>
    <w:basedOn w:val="DefaultParagraphFont"/>
  </w:style>
  <w:style w:type="character" w:customStyle="1" w:styleId="TestofumettoCarattere">
    <w:name w:val="Testo fumetto Carattere"/>
    <w:basedOn w:val="DefaultParagraphFont"/>
  </w:style>
  <w:style w:type="character" w:customStyle="1" w:styleId="Titolo1Carattere">
    <w:name w:val="Titolo 1 Carattere"/>
    <w:basedOn w:val="DefaultParagraphFont"/>
  </w:style>
  <w:style w:type="character" w:customStyle="1" w:styleId="TitoloCarattere">
    <w:name w:val="Titolo Carattere"/>
    <w:basedOn w:val="DefaultParagraphFont"/>
  </w:style>
  <w:style w:type="character" w:customStyle="1" w:styleId="CorpotestoCarattere">
    <w:name w:val="Corpo testo Carattere"/>
    <w:basedOn w:val="DefaultParagraphFont"/>
  </w:style>
  <w:style w:type="paragraph" w:customStyle="1" w:styleId="Intestazione1">
    <w:name w:val="Intestazione1"/>
    <w:basedOn w:val="Normale"/>
    <w:next w:val="Corpodeltesto"/>
    <w:pPr>
      <w:keepNext/>
      <w:spacing w:before="240" w:after="120"/>
    </w:pPr>
  </w:style>
  <w:style w:type="paragraph" w:styleId="Corpodeltesto">
    <w:name w:val="Body Text"/>
    <w:basedOn w:val="Normale"/>
    <w:pPr>
      <w:spacing w:after="120"/>
    </w:pPr>
  </w:style>
  <w:style w:type="paragraph" w:styleId="Elenco">
    <w:name w:val="List"/>
    <w:basedOn w:val="Corpodeltesto"/>
  </w:style>
  <w:style w:type="paragraph" w:customStyle="1" w:styleId="Didascalia1">
    <w:name w:val="Didascalia1"/>
    <w:basedOn w:val="Normale"/>
    <w:pPr>
      <w:suppressLineNumbers/>
      <w:spacing w:before="120" w:after="120"/>
    </w:pPr>
  </w:style>
  <w:style w:type="paragraph" w:customStyle="1" w:styleId="Indice">
    <w:name w:val="Indice"/>
    <w:basedOn w:val="Normale"/>
    <w:pPr>
      <w:suppressLineNumbers/>
    </w:pPr>
  </w:style>
  <w:style w:type="paragraph" w:customStyle="1" w:styleId="normal">
    <w:name w:val="normal"/>
    <w:pPr>
      <w:suppressAutoHyphens/>
    </w:pPr>
  </w:style>
  <w:style w:type="paragraph" w:styleId="Titolo">
    <w:name w:val="Title"/>
    <w:basedOn w:val="Normale"/>
    <w:next w:val="Normale"/>
    <w:qFormat/>
    <w:pPr>
      <w:spacing w:after="0" w:line="100" w:lineRule="atLeast"/>
      <w:jc w:val="center"/>
    </w:pPr>
  </w:style>
  <w:style w:type="paragraph" w:styleId="Sottotitolo">
    <w:name w:val="Subtitle"/>
    <w:basedOn w:val="normal"/>
    <w:next w:val="Normale"/>
    <w:qFormat/>
    <w:pPr>
      <w:keepNext/>
      <w:keepLines/>
      <w:spacing w:before="360" w:after="80" w:line="100" w:lineRule="atLeast"/>
    </w:pPr>
  </w:style>
  <w:style w:type="paragraph" w:styleId="Intestazione">
    <w:name w:val="header"/>
    <w:basedOn w:val="Normale"/>
    <w:pPr>
      <w:tabs>
        <w:tab w:val="center" w:pos="4819"/>
        <w:tab w:val="right" w:pos="9638"/>
      </w:tabs>
      <w:spacing w:after="0" w:line="100" w:lineRule="atLeast"/>
    </w:pPr>
  </w:style>
  <w:style w:type="paragraph" w:styleId="Pidipagina">
    <w:name w:val="footer"/>
    <w:basedOn w:val="Normale"/>
    <w:pPr>
      <w:tabs>
        <w:tab w:val="center" w:pos="4819"/>
        <w:tab w:val="right" w:pos="9638"/>
      </w:tabs>
      <w:spacing w:after="0" w:line="100" w:lineRule="atLeast"/>
    </w:pPr>
  </w:style>
  <w:style w:type="paragraph" w:customStyle="1" w:styleId="Default">
    <w:name w:val="Default"/>
    <w:pPr>
      <w:suppressAutoHyphens/>
      <w:spacing w:line="100" w:lineRule="atLeast"/>
    </w:pPr>
  </w:style>
  <w:style w:type="paragraph" w:customStyle="1" w:styleId="Testonormale1">
    <w:name w:val="Testo normale1"/>
    <w:basedOn w:val="Normale"/>
    <w:pPr>
      <w:spacing w:after="0" w:line="100" w:lineRule="atLeast"/>
      <w:jc w:val="both"/>
    </w:pPr>
  </w:style>
  <w:style w:type="paragraph" w:customStyle="1" w:styleId="BalloonText">
    <w:name w:val="Balloon Text"/>
    <w:basedOn w:val="Normale"/>
    <w:pPr>
      <w:spacing w:after="0" w:line="100" w:lineRule="atLeast"/>
    </w:pPr>
  </w:style>
  <w:style w:type="paragraph" w:customStyle="1" w:styleId="ListParagraph">
    <w:name w:val="List Paragraph"/>
    <w:basedOn w:val="Normale"/>
    <w:pPr>
      <w:ind w:left="720"/>
    </w:pPr>
  </w:style>
  <w:style w:type="paragraph" w:customStyle="1" w:styleId="NormalWeb">
    <w:name w:val="Normal (Web)"/>
    <w:basedOn w:val="Normale"/>
    <w:pPr>
      <w:spacing w:before="280" w:after="280" w:line="100" w:lineRule="atLeast"/>
    </w:pPr>
  </w:style>
  <w:style w:type="paragraph" w:customStyle="1" w:styleId="Contenutotabella">
    <w:name w:val="Contenuto tabella"/>
    <w:basedOn w:val="Normale"/>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1069</Words>
  <Characters>6096</Characters>
  <Application>Microsoft Macintosh Word</Application>
  <DocSecurity>0</DocSecurity>
  <Lines>50</Lines>
  <Paragraphs>14</Paragraphs>
  <ScaleCrop>false</ScaleCrop>
  <Company/>
  <LinksUpToDate>false</LinksUpToDate>
  <CharactersWithSpaces>7151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Baccin</dc:creator>
  <cp:keywords/>
  <cp:lastModifiedBy>Utente di Microsoft Office</cp:lastModifiedBy>
  <cp:revision>2</cp:revision>
  <cp:lastPrinted>1601-01-01T00:00:00Z</cp:lastPrinted>
  <dcterms:created xsi:type="dcterms:W3CDTF">2022-02-24T08:51:00Z</dcterms:created>
  <dcterms:modified xsi:type="dcterms:W3CDTF">2022-02-24T08:51:00Z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2016-10-12T23:00:00Z</vt:filetime>
  </property>
  <property fmtid="{D5CDD505-2E9C-101B-9397-08002B2CF9AE}" pid="3" name="LastSaved">
    <vt:filetime>2016-12-02T23:00:00Z</vt:filetime>
  </property>
</Properties>
</file>